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256EE" w14:textId="77777777" w:rsidR="00FE39C5" w:rsidRDefault="00FE39C5" w:rsidP="00FE39C5">
      <w:pPr>
        <w:jc w:val="left"/>
        <w:rPr>
          <w:b/>
          <w:bCs/>
          <w:sz w:val="28"/>
          <w:szCs w:val="28"/>
        </w:rPr>
      </w:pPr>
    </w:p>
    <w:p w14:paraId="6F406EFD" w14:textId="77777777" w:rsidR="00FE39C5" w:rsidRDefault="00FE39C5" w:rsidP="00FE39C5">
      <w:pPr>
        <w:jc w:val="left"/>
        <w:rPr>
          <w:b/>
          <w:bCs/>
          <w:sz w:val="28"/>
          <w:szCs w:val="28"/>
        </w:rPr>
      </w:pPr>
    </w:p>
    <w:p w14:paraId="0857C771" w14:textId="77777777" w:rsidR="00FE39C5" w:rsidRDefault="00FE39C5" w:rsidP="00FE39C5">
      <w:pPr>
        <w:jc w:val="left"/>
        <w:rPr>
          <w:b/>
          <w:bCs/>
          <w:sz w:val="28"/>
          <w:szCs w:val="28"/>
        </w:rPr>
      </w:pPr>
    </w:p>
    <w:p w14:paraId="2DAA9285" w14:textId="77777777" w:rsidR="00FE39C5" w:rsidRDefault="00FE39C5" w:rsidP="00FE39C5">
      <w:pPr>
        <w:jc w:val="left"/>
        <w:rPr>
          <w:b/>
          <w:bCs/>
          <w:sz w:val="28"/>
          <w:szCs w:val="28"/>
        </w:rPr>
      </w:pPr>
    </w:p>
    <w:p w14:paraId="0837532B" w14:textId="77777777" w:rsidR="00FE39C5" w:rsidRDefault="00FE39C5" w:rsidP="00FE39C5">
      <w:pPr>
        <w:jc w:val="left"/>
        <w:rPr>
          <w:b/>
          <w:bCs/>
          <w:sz w:val="28"/>
          <w:szCs w:val="28"/>
        </w:rPr>
      </w:pPr>
    </w:p>
    <w:p w14:paraId="7F9F1F3E" w14:textId="77777777" w:rsidR="00FE39C5" w:rsidRDefault="00FE39C5" w:rsidP="00FE39C5">
      <w:pPr>
        <w:jc w:val="left"/>
        <w:rPr>
          <w:b/>
          <w:bCs/>
          <w:sz w:val="28"/>
          <w:szCs w:val="28"/>
        </w:rPr>
      </w:pPr>
    </w:p>
    <w:p w14:paraId="1212733F" w14:textId="77777777" w:rsidR="00FE39C5" w:rsidRDefault="00FE39C5" w:rsidP="00FE39C5">
      <w:pPr>
        <w:jc w:val="left"/>
        <w:rPr>
          <w:b/>
          <w:bCs/>
          <w:sz w:val="28"/>
          <w:szCs w:val="28"/>
        </w:rPr>
      </w:pPr>
    </w:p>
    <w:p w14:paraId="5896384F" w14:textId="77777777" w:rsidR="00FE39C5" w:rsidRDefault="00FE39C5" w:rsidP="00FE39C5">
      <w:pPr>
        <w:jc w:val="left"/>
        <w:rPr>
          <w:b/>
          <w:bCs/>
          <w:sz w:val="28"/>
          <w:szCs w:val="28"/>
        </w:rPr>
      </w:pPr>
    </w:p>
    <w:p w14:paraId="5BC83931" w14:textId="77777777" w:rsidR="00FE39C5" w:rsidRDefault="00FE39C5" w:rsidP="00FE39C5">
      <w:pPr>
        <w:jc w:val="left"/>
        <w:rPr>
          <w:b/>
          <w:bCs/>
          <w:sz w:val="28"/>
          <w:szCs w:val="28"/>
        </w:rPr>
      </w:pPr>
    </w:p>
    <w:p w14:paraId="592D9D35" w14:textId="77777777" w:rsidR="00FE39C5" w:rsidRDefault="00FE39C5" w:rsidP="00FE39C5">
      <w:pPr>
        <w:jc w:val="left"/>
        <w:rPr>
          <w:b/>
          <w:bCs/>
          <w:sz w:val="28"/>
          <w:szCs w:val="28"/>
        </w:rPr>
      </w:pPr>
    </w:p>
    <w:p w14:paraId="11B88873" w14:textId="2B46E0DF" w:rsidR="00FE39C5" w:rsidRPr="00FE39C5" w:rsidRDefault="007A6035" w:rsidP="00FE39C5">
      <w:pPr>
        <w:jc w:val="left"/>
        <w:rPr>
          <w:b/>
          <w:bCs/>
        </w:rPr>
      </w:pPr>
      <w:r w:rsidRPr="00FE39C5">
        <w:rPr>
          <w:b/>
          <w:bCs/>
          <w:sz w:val="28"/>
          <w:szCs w:val="28"/>
        </w:rPr>
        <w:t>International h</w:t>
      </w:r>
      <w:r w:rsidR="007A4BC1" w:rsidRPr="00FE39C5">
        <w:rPr>
          <w:b/>
          <w:bCs/>
          <w:sz w:val="28"/>
          <w:szCs w:val="28"/>
        </w:rPr>
        <w:t xml:space="preserve">uman </w:t>
      </w:r>
      <w:r w:rsidR="008E2624" w:rsidRPr="00FE39C5">
        <w:rPr>
          <w:b/>
          <w:bCs/>
          <w:sz w:val="28"/>
          <w:szCs w:val="28"/>
        </w:rPr>
        <w:t>r</w:t>
      </w:r>
      <w:r w:rsidR="007A4BC1" w:rsidRPr="00FE39C5">
        <w:rPr>
          <w:b/>
          <w:bCs/>
          <w:sz w:val="28"/>
          <w:szCs w:val="28"/>
        </w:rPr>
        <w:t>ights perspective</w:t>
      </w:r>
      <w:r w:rsidR="008E2624" w:rsidRPr="00FE39C5">
        <w:rPr>
          <w:b/>
          <w:bCs/>
          <w:sz w:val="28"/>
          <w:szCs w:val="28"/>
        </w:rPr>
        <w:t>s</w:t>
      </w:r>
      <w:r w:rsidR="007A4BC1" w:rsidRPr="00FE39C5">
        <w:rPr>
          <w:b/>
          <w:bCs/>
          <w:sz w:val="28"/>
          <w:szCs w:val="28"/>
        </w:rPr>
        <w:t xml:space="preserve"> o</w:t>
      </w:r>
      <w:r w:rsidR="00D02682" w:rsidRPr="00FE39C5">
        <w:rPr>
          <w:b/>
          <w:bCs/>
          <w:sz w:val="28"/>
          <w:szCs w:val="28"/>
        </w:rPr>
        <w:t>n</w:t>
      </w:r>
      <w:r w:rsidR="007A4BC1" w:rsidRPr="00FE39C5">
        <w:rPr>
          <w:b/>
          <w:bCs/>
          <w:sz w:val="28"/>
          <w:szCs w:val="28"/>
        </w:rPr>
        <w:t xml:space="preserve"> Ihumātao</w:t>
      </w:r>
      <w:r w:rsidR="00FE39C5" w:rsidRPr="00FE39C5">
        <w:rPr>
          <w:b/>
          <w:bCs/>
        </w:rPr>
        <w:br/>
        <w:t>A report issued by the New Zealand Human Rights Commission</w:t>
      </w:r>
    </w:p>
    <w:p w14:paraId="6F6679D2" w14:textId="4BC16CA8" w:rsidR="00FE39C5" w:rsidRDefault="00FE39C5" w:rsidP="00FE39C5">
      <w:pPr>
        <w:spacing w:line="240" w:lineRule="auto"/>
        <w:jc w:val="left"/>
      </w:pPr>
      <w:r>
        <w:t xml:space="preserve">Copyright </w:t>
      </w:r>
      <w:r w:rsidRPr="00FE39C5">
        <w:rPr>
          <w:rFonts w:eastAsia="Times New Roman"/>
          <w:color w:val="222222"/>
          <w:shd w:val="clear" w:color="auto" w:fill="FFFFFF"/>
          <w:lang w:val="en-US"/>
        </w:rPr>
        <w:t>©</w:t>
      </w:r>
      <w:r>
        <w:rPr>
          <w:rFonts w:ascii="Times New Roman" w:eastAsia="Times New Roman" w:hAnsi="Times New Roman" w:cs="Times New Roman"/>
          <w:lang w:val="en-US"/>
        </w:rPr>
        <w:t xml:space="preserve"> </w:t>
      </w:r>
      <w:r w:rsidRPr="00FE39C5">
        <w:t>2019</w:t>
      </w:r>
      <w:r>
        <w:t xml:space="preserve"> New Zealand Human Rights Commission</w:t>
      </w:r>
      <w:r>
        <w:br/>
        <w:t>All rights reserved.</w:t>
      </w:r>
      <w:r>
        <w:br/>
        <w:t>Printed in Auckland, New Zealand.</w:t>
      </w:r>
    </w:p>
    <w:p w14:paraId="56724B7C" w14:textId="59EC4264" w:rsidR="00FE39C5" w:rsidRDefault="00FE39C5" w:rsidP="00FE39C5">
      <w:pPr>
        <w:spacing w:line="240" w:lineRule="auto"/>
        <w:jc w:val="left"/>
      </w:pPr>
      <w:r>
        <w:t xml:space="preserve">ISBN: </w:t>
      </w:r>
      <w:r w:rsidRPr="00FE39C5">
        <w:t>978-0-478-35607-6</w:t>
      </w:r>
    </w:p>
    <w:p w14:paraId="5B9717FB" w14:textId="3E88CC3A" w:rsidR="00FE39C5" w:rsidRDefault="00FE39C5" w:rsidP="00FE39C5">
      <w:pPr>
        <w:spacing w:line="240" w:lineRule="auto"/>
        <w:jc w:val="left"/>
      </w:pPr>
      <w:r>
        <w:t xml:space="preserve">The Human Rights Commission was set up in 1977 and works under the Human Rights Act 1993. Our purpose is to promote and protect the human rights of all people in Aotearoa New Zealand. We work for a free, fair, safe and just New Zealand, where diversity </w:t>
      </w:r>
      <w:r w:rsidR="00B417E2">
        <w:t>is</w:t>
      </w:r>
      <w:r>
        <w:t xml:space="preserve"> valued and human dignity and rights are respected.</w:t>
      </w:r>
    </w:p>
    <w:p w14:paraId="19242FE4" w14:textId="279DF371" w:rsidR="00FE39C5" w:rsidRPr="00FE39C5" w:rsidRDefault="00FE39C5" w:rsidP="00FE39C5">
      <w:pPr>
        <w:spacing w:line="240" w:lineRule="auto"/>
        <w:jc w:val="left"/>
        <w:rPr>
          <w:lang w:val="en-US"/>
        </w:rPr>
      </w:pPr>
      <w:r>
        <w:t>For more information, please visit our website: www.hrc.co.nz</w:t>
      </w:r>
    </w:p>
    <w:p w14:paraId="07EBEFBC" w14:textId="555A95FD" w:rsidR="00EB262B" w:rsidRPr="00C444CE" w:rsidRDefault="00E2056A">
      <w:pPr>
        <w:spacing w:line="259" w:lineRule="auto"/>
        <w:jc w:val="left"/>
      </w:pPr>
      <w:r w:rsidRPr="00C444CE">
        <w:br w:type="page"/>
      </w:r>
    </w:p>
    <w:sdt>
      <w:sdtPr>
        <w:rPr>
          <w:rFonts w:ascii="Arial" w:eastAsiaTheme="minorHAnsi" w:hAnsi="Arial" w:cs="Arial"/>
          <w:b w:val="0"/>
          <w:bCs w:val="0"/>
          <w:color w:val="auto"/>
          <w:sz w:val="24"/>
          <w:szCs w:val="24"/>
          <w:lang w:val="en-NZ"/>
        </w:rPr>
        <w:id w:val="664979789"/>
        <w:docPartObj>
          <w:docPartGallery w:val="Table of Contents"/>
          <w:docPartUnique/>
        </w:docPartObj>
      </w:sdtPr>
      <w:sdtEndPr>
        <w:rPr>
          <w:noProof/>
        </w:rPr>
      </w:sdtEndPr>
      <w:sdtContent>
        <w:p w14:paraId="5CA4F6A1" w14:textId="5DF7BD30" w:rsidR="00EB262B" w:rsidRPr="00FE39C5" w:rsidRDefault="00EB262B">
          <w:pPr>
            <w:pStyle w:val="TOCHeading"/>
            <w:rPr>
              <w:rStyle w:val="Heading1Char"/>
              <w:rFonts w:eastAsiaTheme="minorHAnsi"/>
              <w:color w:val="auto"/>
              <w:sz w:val="24"/>
              <w:szCs w:val="24"/>
              <w:lang w:val="en-NZ"/>
            </w:rPr>
          </w:pPr>
          <w:r w:rsidRPr="00C444CE">
            <w:rPr>
              <w:rStyle w:val="Heading1Char"/>
              <w:b/>
              <w:bCs/>
              <w:lang w:val="en-NZ"/>
            </w:rPr>
            <w:t>Table of Contents</w:t>
          </w:r>
        </w:p>
        <w:p w14:paraId="74A215FB" w14:textId="0DDCB682" w:rsidR="00746906" w:rsidRDefault="00EB262B">
          <w:pPr>
            <w:pStyle w:val="TOC1"/>
            <w:tabs>
              <w:tab w:val="right" w:leader="dot" w:pos="8755"/>
            </w:tabs>
            <w:rPr>
              <w:rFonts w:eastAsiaTheme="minorEastAsia" w:cstheme="minorBidi"/>
              <w:b w:val="0"/>
              <w:bCs w:val="0"/>
              <w:i w:val="0"/>
              <w:iCs w:val="0"/>
              <w:noProof/>
              <w:lang w:val="en-US"/>
            </w:rPr>
          </w:pPr>
          <w:r w:rsidRPr="00C444CE">
            <w:rPr>
              <w:b w:val="0"/>
              <w:bCs w:val="0"/>
            </w:rPr>
            <w:fldChar w:fldCharType="begin"/>
          </w:r>
          <w:r w:rsidRPr="00C444CE">
            <w:instrText xml:space="preserve"> TOC \o "1-3" \h \z \u </w:instrText>
          </w:r>
          <w:r w:rsidRPr="00C444CE">
            <w:rPr>
              <w:b w:val="0"/>
              <w:bCs w:val="0"/>
            </w:rPr>
            <w:fldChar w:fldCharType="separate"/>
          </w:r>
          <w:hyperlink w:anchor="_Toc17386667" w:history="1">
            <w:r w:rsidR="00746906" w:rsidRPr="00663CBD">
              <w:rPr>
                <w:rStyle w:val="Hyperlink"/>
                <w:noProof/>
              </w:rPr>
              <w:t>Executive Summary</w:t>
            </w:r>
            <w:r w:rsidR="00746906">
              <w:rPr>
                <w:noProof/>
                <w:webHidden/>
              </w:rPr>
              <w:tab/>
            </w:r>
            <w:r w:rsidR="00746906">
              <w:rPr>
                <w:noProof/>
                <w:webHidden/>
              </w:rPr>
              <w:fldChar w:fldCharType="begin"/>
            </w:r>
            <w:r w:rsidR="00746906">
              <w:rPr>
                <w:noProof/>
                <w:webHidden/>
              </w:rPr>
              <w:instrText xml:space="preserve"> PAGEREF _Toc17386667 \h </w:instrText>
            </w:r>
            <w:r w:rsidR="00746906">
              <w:rPr>
                <w:noProof/>
                <w:webHidden/>
              </w:rPr>
            </w:r>
            <w:r w:rsidR="00746906">
              <w:rPr>
                <w:noProof/>
                <w:webHidden/>
              </w:rPr>
              <w:fldChar w:fldCharType="separate"/>
            </w:r>
            <w:r w:rsidR="00746906">
              <w:rPr>
                <w:noProof/>
                <w:webHidden/>
              </w:rPr>
              <w:t>3</w:t>
            </w:r>
            <w:r w:rsidR="00746906">
              <w:rPr>
                <w:noProof/>
                <w:webHidden/>
              </w:rPr>
              <w:fldChar w:fldCharType="end"/>
            </w:r>
          </w:hyperlink>
        </w:p>
        <w:p w14:paraId="09323699" w14:textId="75230863" w:rsidR="00746906" w:rsidRDefault="00746906">
          <w:pPr>
            <w:pStyle w:val="TOC1"/>
            <w:tabs>
              <w:tab w:val="right" w:leader="dot" w:pos="8755"/>
            </w:tabs>
            <w:rPr>
              <w:rFonts w:eastAsiaTheme="minorEastAsia" w:cstheme="minorBidi"/>
              <w:b w:val="0"/>
              <w:bCs w:val="0"/>
              <w:i w:val="0"/>
              <w:iCs w:val="0"/>
              <w:noProof/>
              <w:lang w:val="en-US"/>
            </w:rPr>
          </w:pPr>
          <w:hyperlink w:anchor="_Toc17386668" w:history="1">
            <w:r w:rsidRPr="00663CBD">
              <w:rPr>
                <w:rStyle w:val="Hyperlink"/>
                <w:noProof/>
              </w:rPr>
              <w:t>Introduction</w:t>
            </w:r>
            <w:r>
              <w:rPr>
                <w:noProof/>
                <w:webHidden/>
              </w:rPr>
              <w:tab/>
            </w:r>
            <w:r>
              <w:rPr>
                <w:noProof/>
                <w:webHidden/>
              </w:rPr>
              <w:fldChar w:fldCharType="begin"/>
            </w:r>
            <w:r>
              <w:rPr>
                <w:noProof/>
                <w:webHidden/>
              </w:rPr>
              <w:instrText xml:space="preserve"> PAGEREF _Toc17386668 \h </w:instrText>
            </w:r>
            <w:r>
              <w:rPr>
                <w:noProof/>
                <w:webHidden/>
              </w:rPr>
            </w:r>
            <w:r>
              <w:rPr>
                <w:noProof/>
                <w:webHidden/>
              </w:rPr>
              <w:fldChar w:fldCharType="separate"/>
            </w:r>
            <w:r>
              <w:rPr>
                <w:noProof/>
                <w:webHidden/>
              </w:rPr>
              <w:t>7</w:t>
            </w:r>
            <w:r>
              <w:rPr>
                <w:noProof/>
                <w:webHidden/>
              </w:rPr>
              <w:fldChar w:fldCharType="end"/>
            </w:r>
          </w:hyperlink>
        </w:p>
        <w:p w14:paraId="66653B29" w14:textId="2D4C4198" w:rsidR="00746906" w:rsidRDefault="00746906">
          <w:pPr>
            <w:pStyle w:val="TOC1"/>
            <w:tabs>
              <w:tab w:val="right" w:leader="dot" w:pos="8755"/>
            </w:tabs>
            <w:rPr>
              <w:rFonts w:eastAsiaTheme="minorEastAsia" w:cstheme="minorBidi"/>
              <w:b w:val="0"/>
              <w:bCs w:val="0"/>
              <w:i w:val="0"/>
              <w:iCs w:val="0"/>
              <w:noProof/>
              <w:lang w:val="en-US"/>
            </w:rPr>
          </w:pPr>
          <w:hyperlink w:anchor="_Toc17386669" w:history="1">
            <w:r w:rsidRPr="00663CBD">
              <w:rPr>
                <w:rStyle w:val="Hyperlink"/>
                <w:noProof/>
              </w:rPr>
              <w:t>Background</w:t>
            </w:r>
            <w:r>
              <w:rPr>
                <w:noProof/>
                <w:webHidden/>
              </w:rPr>
              <w:tab/>
            </w:r>
            <w:r>
              <w:rPr>
                <w:noProof/>
                <w:webHidden/>
              </w:rPr>
              <w:fldChar w:fldCharType="begin"/>
            </w:r>
            <w:r>
              <w:rPr>
                <w:noProof/>
                <w:webHidden/>
              </w:rPr>
              <w:instrText xml:space="preserve"> PAGEREF _Toc17386669 \h </w:instrText>
            </w:r>
            <w:r>
              <w:rPr>
                <w:noProof/>
                <w:webHidden/>
              </w:rPr>
            </w:r>
            <w:r>
              <w:rPr>
                <w:noProof/>
                <w:webHidden/>
              </w:rPr>
              <w:fldChar w:fldCharType="separate"/>
            </w:r>
            <w:r>
              <w:rPr>
                <w:noProof/>
                <w:webHidden/>
              </w:rPr>
              <w:t>8</w:t>
            </w:r>
            <w:r>
              <w:rPr>
                <w:noProof/>
                <w:webHidden/>
              </w:rPr>
              <w:fldChar w:fldCharType="end"/>
            </w:r>
          </w:hyperlink>
        </w:p>
        <w:p w14:paraId="549B7AD8" w14:textId="624328A1" w:rsidR="00746906" w:rsidRDefault="00746906">
          <w:pPr>
            <w:pStyle w:val="TOC1"/>
            <w:tabs>
              <w:tab w:val="right" w:leader="dot" w:pos="8755"/>
            </w:tabs>
            <w:rPr>
              <w:rFonts w:eastAsiaTheme="minorEastAsia" w:cstheme="minorBidi"/>
              <w:b w:val="0"/>
              <w:bCs w:val="0"/>
              <w:i w:val="0"/>
              <w:iCs w:val="0"/>
              <w:noProof/>
              <w:lang w:val="en-US"/>
            </w:rPr>
          </w:pPr>
          <w:hyperlink w:anchor="_Toc17386670" w:history="1">
            <w:r w:rsidRPr="00663CBD">
              <w:rPr>
                <w:rStyle w:val="Hyperlink"/>
                <w:noProof/>
              </w:rPr>
              <w:t>Te Ao Māori - the Māori world view</w:t>
            </w:r>
            <w:r>
              <w:rPr>
                <w:noProof/>
                <w:webHidden/>
              </w:rPr>
              <w:tab/>
            </w:r>
            <w:r>
              <w:rPr>
                <w:noProof/>
                <w:webHidden/>
              </w:rPr>
              <w:fldChar w:fldCharType="begin"/>
            </w:r>
            <w:r>
              <w:rPr>
                <w:noProof/>
                <w:webHidden/>
              </w:rPr>
              <w:instrText xml:space="preserve"> PAGEREF _Toc17386670 \h </w:instrText>
            </w:r>
            <w:r>
              <w:rPr>
                <w:noProof/>
                <w:webHidden/>
              </w:rPr>
            </w:r>
            <w:r>
              <w:rPr>
                <w:noProof/>
                <w:webHidden/>
              </w:rPr>
              <w:fldChar w:fldCharType="separate"/>
            </w:r>
            <w:r>
              <w:rPr>
                <w:noProof/>
                <w:webHidden/>
              </w:rPr>
              <w:t>10</w:t>
            </w:r>
            <w:r>
              <w:rPr>
                <w:noProof/>
                <w:webHidden/>
              </w:rPr>
              <w:fldChar w:fldCharType="end"/>
            </w:r>
          </w:hyperlink>
        </w:p>
        <w:p w14:paraId="6BC4A056" w14:textId="3484D405" w:rsidR="00746906" w:rsidRDefault="00746906">
          <w:pPr>
            <w:pStyle w:val="TOC1"/>
            <w:tabs>
              <w:tab w:val="right" w:leader="dot" w:pos="8755"/>
            </w:tabs>
            <w:rPr>
              <w:rFonts w:eastAsiaTheme="minorEastAsia" w:cstheme="minorBidi"/>
              <w:b w:val="0"/>
              <w:bCs w:val="0"/>
              <w:i w:val="0"/>
              <w:iCs w:val="0"/>
              <w:noProof/>
              <w:lang w:val="en-US"/>
            </w:rPr>
          </w:pPr>
          <w:hyperlink w:anchor="_Toc17386671" w:history="1">
            <w:r w:rsidRPr="00663CBD">
              <w:rPr>
                <w:rStyle w:val="Hyperlink"/>
                <w:noProof/>
              </w:rPr>
              <w:t>The United Nations Declaration on the Rights of Indigenous Peoples</w:t>
            </w:r>
            <w:r>
              <w:rPr>
                <w:noProof/>
                <w:webHidden/>
              </w:rPr>
              <w:tab/>
            </w:r>
            <w:r>
              <w:rPr>
                <w:noProof/>
                <w:webHidden/>
              </w:rPr>
              <w:fldChar w:fldCharType="begin"/>
            </w:r>
            <w:r>
              <w:rPr>
                <w:noProof/>
                <w:webHidden/>
              </w:rPr>
              <w:instrText xml:space="preserve"> PAGEREF _Toc17386671 \h </w:instrText>
            </w:r>
            <w:r>
              <w:rPr>
                <w:noProof/>
                <w:webHidden/>
              </w:rPr>
            </w:r>
            <w:r>
              <w:rPr>
                <w:noProof/>
                <w:webHidden/>
              </w:rPr>
              <w:fldChar w:fldCharType="separate"/>
            </w:r>
            <w:r>
              <w:rPr>
                <w:noProof/>
                <w:webHidden/>
              </w:rPr>
              <w:t>11</w:t>
            </w:r>
            <w:r>
              <w:rPr>
                <w:noProof/>
                <w:webHidden/>
              </w:rPr>
              <w:fldChar w:fldCharType="end"/>
            </w:r>
          </w:hyperlink>
        </w:p>
        <w:p w14:paraId="7147E459" w14:textId="0FC22A73" w:rsidR="00746906" w:rsidRDefault="00746906">
          <w:pPr>
            <w:pStyle w:val="TOC2"/>
            <w:tabs>
              <w:tab w:val="right" w:leader="dot" w:pos="8755"/>
            </w:tabs>
            <w:rPr>
              <w:rFonts w:eastAsiaTheme="minorEastAsia" w:cstheme="minorBidi"/>
              <w:b w:val="0"/>
              <w:bCs w:val="0"/>
              <w:noProof/>
              <w:sz w:val="24"/>
              <w:szCs w:val="24"/>
              <w:lang w:val="en-US"/>
            </w:rPr>
          </w:pPr>
          <w:hyperlink w:anchor="_Toc17386672" w:history="1">
            <w:r w:rsidRPr="00663CBD">
              <w:rPr>
                <w:rStyle w:val="Hyperlink"/>
                <w:noProof/>
              </w:rPr>
              <w:t>The Declaration and Te Tiriti</w:t>
            </w:r>
            <w:r>
              <w:rPr>
                <w:noProof/>
                <w:webHidden/>
              </w:rPr>
              <w:tab/>
            </w:r>
            <w:r>
              <w:rPr>
                <w:noProof/>
                <w:webHidden/>
              </w:rPr>
              <w:fldChar w:fldCharType="begin"/>
            </w:r>
            <w:r>
              <w:rPr>
                <w:noProof/>
                <w:webHidden/>
              </w:rPr>
              <w:instrText xml:space="preserve"> PAGEREF _Toc17386672 \h </w:instrText>
            </w:r>
            <w:r>
              <w:rPr>
                <w:noProof/>
                <w:webHidden/>
              </w:rPr>
            </w:r>
            <w:r>
              <w:rPr>
                <w:noProof/>
                <w:webHidden/>
              </w:rPr>
              <w:fldChar w:fldCharType="separate"/>
            </w:r>
            <w:r>
              <w:rPr>
                <w:noProof/>
                <w:webHidden/>
              </w:rPr>
              <w:t>11</w:t>
            </w:r>
            <w:r>
              <w:rPr>
                <w:noProof/>
                <w:webHidden/>
              </w:rPr>
              <w:fldChar w:fldCharType="end"/>
            </w:r>
          </w:hyperlink>
        </w:p>
        <w:p w14:paraId="6E1013C1" w14:textId="29B4570A" w:rsidR="00746906" w:rsidRDefault="00746906">
          <w:pPr>
            <w:pStyle w:val="TOC2"/>
            <w:tabs>
              <w:tab w:val="right" w:leader="dot" w:pos="8755"/>
            </w:tabs>
            <w:rPr>
              <w:rFonts w:eastAsiaTheme="minorEastAsia" w:cstheme="minorBidi"/>
              <w:b w:val="0"/>
              <w:bCs w:val="0"/>
              <w:noProof/>
              <w:sz w:val="24"/>
              <w:szCs w:val="24"/>
              <w:lang w:val="en-US"/>
            </w:rPr>
          </w:pPr>
          <w:hyperlink w:anchor="_Toc17386673" w:history="1">
            <w:r w:rsidRPr="00663CBD">
              <w:rPr>
                <w:rStyle w:val="Hyperlink"/>
                <w:noProof/>
              </w:rPr>
              <w:t>The Declaration rights most relevant to Ihumātao</w:t>
            </w:r>
            <w:r>
              <w:rPr>
                <w:noProof/>
                <w:webHidden/>
              </w:rPr>
              <w:tab/>
            </w:r>
            <w:r>
              <w:rPr>
                <w:noProof/>
                <w:webHidden/>
              </w:rPr>
              <w:fldChar w:fldCharType="begin"/>
            </w:r>
            <w:r>
              <w:rPr>
                <w:noProof/>
                <w:webHidden/>
              </w:rPr>
              <w:instrText xml:space="preserve"> PAGEREF _Toc17386673 \h </w:instrText>
            </w:r>
            <w:r>
              <w:rPr>
                <w:noProof/>
                <w:webHidden/>
              </w:rPr>
            </w:r>
            <w:r>
              <w:rPr>
                <w:noProof/>
                <w:webHidden/>
              </w:rPr>
              <w:fldChar w:fldCharType="separate"/>
            </w:r>
            <w:r>
              <w:rPr>
                <w:noProof/>
                <w:webHidden/>
              </w:rPr>
              <w:t>12</w:t>
            </w:r>
            <w:r>
              <w:rPr>
                <w:noProof/>
                <w:webHidden/>
              </w:rPr>
              <w:fldChar w:fldCharType="end"/>
            </w:r>
          </w:hyperlink>
        </w:p>
        <w:p w14:paraId="79D2C2D4" w14:textId="3FF9BBE1" w:rsidR="00746906" w:rsidRDefault="00746906">
          <w:pPr>
            <w:pStyle w:val="TOC3"/>
            <w:tabs>
              <w:tab w:val="right" w:leader="dot" w:pos="8755"/>
            </w:tabs>
            <w:rPr>
              <w:rFonts w:eastAsiaTheme="minorEastAsia" w:cstheme="minorBidi"/>
              <w:noProof/>
              <w:sz w:val="24"/>
              <w:szCs w:val="24"/>
              <w:lang w:val="en-US"/>
            </w:rPr>
          </w:pPr>
          <w:hyperlink w:anchor="_Toc17386674" w:history="1">
            <w:r w:rsidRPr="00663CBD">
              <w:rPr>
                <w:rStyle w:val="Hyperlink"/>
                <w:noProof/>
              </w:rPr>
              <w:t>The Right to Land</w:t>
            </w:r>
            <w:r>
              <w:rPr>
                <w:noProof/>
                <w:webHidden/>
              </w:rPr>
              <w:tab/>
            </w:r>
            <w:r>
              <w:rPr>
                <w:noProof/>
                <w:webHidden/>
              </w:rPr>
              <w:fldChar w:fldCharType="begin"/>
            </w:r>
            <w:r>
              <w:rPr>
                <w:noProof/>
                <w:webHidden/>
              </w:rPr>
              <w:instrText xml:space="preserve"> PAGEREF _Toc17386674 \h </w:instrText>
            </w:r>
            <w:r>
              <w:rPr>
                <w:noProof/>
                <w:webHidden/>
              </w:rPr>
            </w:r>
            <w:r>
              <w:rPr>
                <w:noProof/>
                <w:webHidden/>
              </w:rPr>
              <w:fldChar w:fldCharType="separate"/>
            </w:r>
            <w:r>
              <w:rPr>
                <w:noProof/>
                <w:webHidden/>
              </w:rPr>
              <w:t>12</w:t>
            </w:r>
            <w:r>
              <w:rPr>
                <w:noProof/>
                <w:webHidden/>
              </w:rPr>
              <w:fldChar w:fldCharType="end"/>
            </w:r>
          </w:hyperlink>
        </w:p>
        <w:p w14:paraId="258938A0" w14:textId="7B6F2586" w:rsidR="00746906" w:rsidRDefault="00746906">
          <w:pPr>
            <w:pStyle w:val="TOC3"/>
            <w:tabs>
              <w:tab w:val="right" w:leader="dot" w:pos="8755"/>
            </w:tabs>
            <w:rPr>
              <w:rFonts w:eastAsiaTheme="minorEastAsia" w:cstheme="minorBidi"/>
              <w:noProof/>
              <w:sz w:val="24"/>
              <w:szCs w:val="24"/>
              <w:lang w:val="en-US"/>
            </w:rPr>
          </w:pPr>
          <w:hyperlink w:anchor="_Toc17386675" w:history="1">
            <w:r w:rsidRPr="00663CBD">
              <w:rPr>
                <w:rStyle w:val="Hyperlink"/>
                <w:noProof/>
              </w:rPr>
              <w:t>The Right to Culture</w:t>
            </w:r>
            <w:r>
              <w:rPr>
                <w:noProof/>
                <w:webHidden/>
              </w:rPr>
              <w:tab/>
            </w:r>
            <w:r>
              <w:rPr>
                <w:noProof/>
                <w:webHidden/>
              </w:rPr>
              <w:fldChar w:fldCharType="begin"/>
            </w:r>
            <w:r>
              <w:rPr>
                <w:noProof/>
                <w:webHidden/>
              </w:rPr>
              <w:instrText xml:space="preserve"> PAGEREF _Toc17386675 \h </w:instrText>
            </w:r>
            <w:r>
              <w:rPr>
                <w:noProof/>
                <w:webHidden/>
              </w:rPr>
            </w:r>
            <w:r>
              <w:rPr>
                <w:noProof/>
                <w:webHidden/>
              </w:rPr>
              <w:fldChar w:fldCharType="separate"/>
            </w:r>
            <w:r>
              <w:rPr>
                <w:noProof/>
                <w:webHidden/>
              </w:rPr>
              <w:t>13</w:t>
            </w:r>
            <w:r>
              <w:rPr>
                <w:noProof/>
                <w:webHidden/>
              </w:rPr>
              <w:fldChar w:fldCharType="end"/>
            </w:r>
          </w:hyperlink>
        </w:p>
        <w:p w14:paraId="1C4E2479" w14:textId="73B9F3CE" w:rsidR="00746906" w:rsidRDefault="00746906">
          <w:pPr>
            <w:pStyle w:val="TOC3"/>
            <w:tabs>
              <w:tab w:val="right" w:leader="dot" w:pos="8755"/>
            </w:tabs>
            <w:rPr>
              <w:rFonts w:eastAsiaTheme="minorEastAsia" w:cstheme="minorBidi"/>
              <w:noProof/>
              <w:sz w:val="24"/>
              <w:szCs w:val="24"/>
              <w:lang w:val="en-US"/>
            </w:rPr>
          </w:pPr>
          <w:hyperlink w:anchor="_Toc17386676" w:history="1">
            <w:r w:rsidRPr="00663CBD">
              <w:rPr>
                <w:rStyle w:val="Hyperlink"/>
                <w:noProof/>
              </w:rPr>
              <w:t>The Right to Protection</w:t>
            </w:r>
            <w:r>
              <w:rPr>
                <w:noProof/>
                <w:webHidden/>
              </w:rPr>
              <w:tab/>
            </w:r>
            <w:r>
              <w:rPr>
                <w:noProof/>
                <w:webHidden/>
              </w:rPr>
              <w:fldChar w:fldCharType="begin"/>
            </w:r>
            <w:r>
              <w:rPr>
                <w:noProof/>
                <w:webHidden/>
              </w:rPr>
              <w:instrText xml:space="preserve"> PAGEREF _Toc17386676 \h </w:instrText>
            </w:r>
            <w:r>
              <w:rPr>
                <w:noProof/>
                <w:webHidden/>
              </w:rPr>
            </w:r>
            <w:r>
              <w:rPr>
                <w:noProof/>
                <w:webHidden/>
              </w:rPr>
              <w:fldChar w:fldCharType="separate"/>
            </w:r>
            <w:r>
              <w:rPr>
                <w:noProof/>
                <w:webHidden/>
              </w:rPr>
              <w:t>13</w:t>
            </w:r>
            <w:r>
              <w:rPr>
                <w:noProof/>
                <w:webHidden/>
              </w:rPr>
              <w:fldChar w:fldCharType="end"/>
            </w:r>
          </w:hyperlink>
        </w:p>
        <w:p w14:paraId="7CDA0155" w14:textId="36FDBF57" w:rsidR="00746906" w:rsidRDefault="00746906">
          <w:pPr>
            <w:pStyle w:val="TOC3"/>
            <w:tabs>
              <w:tab w:val="right" w:leader="dot" w:pos="8755"/>
            </w:tabs>
            <w:rPr>
              <w:rFonts w:eastAsiaTheme="minorEastAsia" w:cstheme="minorBidi"/>
              <w:noProof/>
              <w:sz w:val="24"/>
              <w:szCs w:val="24"/>
              <w:lang w:val="en-US"/>
            </w:rPr>
          </w:pPr>
          <w:hyperlink w:anchor="_Toc17386677" w:history="1">
            <w:r w:rsidRPr="00663CBD">
              <w:rPr>
                <w:rStyle w:val="Hyperlink"/>
                <w:noProof/>
              </w:rPr>
              <w:t>The Right to Participation</w:t>
            </w:r>
            <w:r>
              <w:rPr>
                <w:noProof/>
                <w:webHidden/>
              </w:rPr>
              <w:tab/>
            </w:r>
            <w:r>
              <w:rPr>
                <w:noProof/>
                <w:webHidden/>
              </w:rPr>
              <w:fldChar w:fldCharType="begin"/>
            </w:r>
            <w:r>
              <w:rPr>
                <w:noProof/>
                <w:webHidden/>
              </w:rPr>
              <w:instrText xml:space="preserve"> PAGEREF _Toc17386677 \h </w:instrText>
            </w:r>
            <w:r>
              <w:rPr>
                <w:noProof/>
                <w:webHidden/>
              </w:rPr>
            </w:r>
            <w:r>
              <w:rPr>
                <w:noProof/>
                <w:webHidden/>
              </w:rPr>
              <w:fldChar w:fldCharType="separate"/>
            </w:r>
            <w:r>
              <w:rPr>
                <w:noProof/>
                <w:webHidden/>
              </w:rPr>
              <w:t>14</w:t>
            </w:r>
            <w:r>
              <w:rPr>
                <w:noProof/>
                <w:webHidden/>
              </w:rPr>
              <w:fldChar w:fldCharType="end"/>
            </w:r>
          </w:hyperlink>
        </w:p>
        <w:p w14:paraId="52720FBE" w14:textId="4DACDC0B" w:rsidR="00746906" w:rsidRDefault="00746906">
          <w:pPr>
            <w:pStyle w:val="TOC3"/>
            <w:tabs>
              <w:tab w:val="right" w:leader="dot" w:pos="8755"/>
            </w:tabs>
            <w:rPr>
              <w:rFonts w:eastAsiaTheme="minorEastAsia" w:cstheme="minorBidi"/>
              <w:noProof/>
              <w:sz w:val="24"/>
              <w:szCs w:val="24"/>
              <w:lang w:val="en-US"/>
            </w:rPr>
          </w:pPr>
          <w:hyperlink w:anchor="_Toc17386678" w:history="1">
            <w:r w:rsidRPr="00663CBD">
              <w:rPr>
                <w:rStyle w:val="Hyperlink"/>
                <w:noProof/>
                <w:shd w:val="clear" w:color="auto" w:fill="FFFFFF"/>
              </w:rPr>
              <w:t>The Right to Free, Prior and Informed Consent</w:t>
            </w:r>
            <w:r>
              <w:rPr>
                <w:noProof/>
                <w:webHidden/>
              </w:rPr>
              <w:tab/>
            </w:r>
            <w:r>
              <w:rPr>
                <w:noProof/>
                <w:webHidden/>
              </w:rPr>
              <w:fldChar w:fldCharType="begin"/>
            </w:r>
            <w:r>
              <w:rPr>
                <w:noProof/>
                <w:webHidden/>
              </w:rPr>
              <w:instrText xml:space="preserve"> PAGEREF _Toc17386678 \h </w:instrText>
            </w:r>
            <w:r>
              <w:rPr>
                <w:noProof/>
                <w:webHidden/>
              </w:rPr>
            </w:r>
            <w:r>
              <w:rPr>
                <w:noProof/>
                <w:webHidden/>
              </w:rPr>
              <w:fldChar w:fldCharType="separate"/>
            </w:r>
            <w:r>
              <w:rPr>
                <w:noProof/>
                <w:webHidden/>
              </w:rPr>
              <w:t>14</w:t>
            </w:r>
            <w:r>
              <w:rPr>
                <w:noProof/>
                <w:webHidden/>
              </w:rPr>
              <w:fldChar w:fldCharType="end"/>
            </w:r>
          </w:hyperlink>
        </w:p>
        <w:p w14:paraId="7CD2BB38" w14:textId="644CBCA2" w:rsidR="00746906" w:rsidRDefault="00746906">
          <w:pPr>
            <w:pStyle w:val="TOC3"/>
            <w:tabs>
              <w:tab w:val="right" w:leader="dot" w:pos="8755"/>
            </w:tabs>
            <w:rPr>
              <w:rFonts w:eastAsiaTheme="minorEastAsia" w:cstheme="minorBidi"/>
              <w:noProof/>
              <w:sz w:val="24"/>
              <w:szCs w:val="24"/>
              <w:lang w:val="en-US"/>
            </w:rPr>
          </w:pPr>
          <w:hyperlink w:anchor="_Toc17386679" w:history="1">
            <w:r w:rsidRPr="00663CBD">
              <w:rPr>
                <w:rStyle w:val="Hyperlink"/>
                <w:noProof/>
              </w:rPr>
              <w:t>The Principle of Good Faith</w:t>
            </w:r>
            <w:r>
              <w:rPr>
                <w:noProof/>
                <w:webHidden/>
              </w:rPr>
              <w:tab/>
            </w:r>
            <w:r>
              <w:rPr>
                <w:noProof/>
                <w:webHidden/>
              </w:rPr>
              <w:fldChar w:fldCharType="begin"/>
            </w:r>
            <w:r>
              <w:rPr>
                <w:noProof/>
                <w:webHidden/>
              </w:rPr>
              <w:instrText xml:space="preserve"> PAGEREF _Toc17386679 \h </w:instrText>
            </w:r>
            <w:r>
              <w:rPr>
                <w:noProof/>
                <w:webHidden/>
              </w:rPr>
            </w:r>
            <w:r>
              <w:rPr>
                <w:noProof/>
                <w:webHidden/>
              </w:rPr>
              <w:fldChar w:fldCharType="separate"/>
            </w:r>
            <w:r>
              <w:rPr>
                <w:noProof/>
                <w:webHidden/>
              </w:rPr>
              <w:t>15</w:t>
            </w:r>
            <w:r>
              <w:rPr>
                <w:noProof/>
                <w:webHidden/>
              </w:rPr>
              <w:fldChar w:fldCharType="end"/>
            </w:r>
          </w:hyperlink>
        </w:p>
        <w:p w14:paraId="3B655352" w14:textId="6C74DD31" w:rsidR="00746906" w:rsidRDefault="00746906">
          <w:pPr>
            <w:pStyle w:val="TOC3"/>
            <w:tabs>
              <w:tab w:val="right" w:leader="dot" w:pos="8755"/>
            </w:tabs>
            <w:rPr>
              <w:rFonts w:eastAsiaTheme="minorEastAsia" w:cstheme="minorBidi"/>
              <w:noProof/>
              <w:sz w:val="24"/>
              <w:szCs w:val="24"/>
              <w:lang w:val="en-US"/>
            </w:rPr>
          </w:pPr>
          <w:hyperlink w:anchor="_Toc17386680" w:history="1">
            <w:r w:rsidRPr="00663CBD">
              <w:rPr>
                <w:rStyle w:val="Hyperlink"/>
                <w:noProof/>
              </w:rPr>
              <w:t>The Right to Redress</w:t>
            </w:r>
            <w:r>
              <w:rPr>
                <w:noProof/>
                <w:webHidden/>
              </w:rPr>
              <w:tab/>
            </w:r>
            <w:r>
              <w:rPr>
                <w:noProof/>
                <w:webHidden/>
              </w:rPr>
              <w:fldChar w:fldCharType="begin"/>
            </w:r>
            <w:r>
              <w:rPr>
                <w:noProof/>
                <w:webHidden/>
              </w:rPr>
              <w:instrText xml:space="preserve"> PAGEREF _Toc17386680 \h </w:instrText>
            </w:r>
            <w:r>
              <w:rPr>
                <w:noProof/>
                <w:webHidden/>
              </w:rPr>
            </w:r>
            <w:r>
              <w:rPr>
                <w:noProof/>
                <w:webHidden/>
              </w:rPr>
              <w:fldChar w:fldCharType="separate"/>
            </w:r>
            <w:r>
              <w:rPr>
                <w:noProof/>
                <w:webHidden/>
              </w:rPr>
              <w:t>16</w:t>
            </w:r>
            <w:r>
              <w:rPr>
                <w:noProof/>
                <w:webHidden/>
              </w:rPr>
              <w:fldChar w:fldCharType="end"/>
            </w:r>
          </w:hyperlink>
        </w:p>
        <w:p w14:paraId="393A53EC" w14:textId="6E9FD0F4" w:rsidR="00746906" w:rsidRDefault="00746906">
          <w:pPr>
            <w:pStyle w:val="TOC3"/>
            <w:tabs>
              <w:tab w:val="right" w:leader="dot" w:pos="8755"/>
            </w:tabs>
            <w:rPr>
              <w:rFonts w:eastAsiaTheme="minorEastAsia" w:cstheme="minorBidi"/>
              <w:noProof/>
              <w:sz w:val="24"/>
              <w:szCs w:val="24"/>
              <w:lang w:val="en-US"/>
            </w:rPr>
          </w:pPr>
          <w:hyperlink w:anchor="_Toc17386681" w:history="1">
            <w:r w:rsidRPr="00663CBD">
              <w:rPr>
                <w:rStyle w:val="Hyperlink"/>
                <w:noProof/>
              </w:rPr>
              <w:t>Fair, Independent, Impartial, Open and Transparent Processes</w:t>
            </w:r>
            <w:r>
              <w:rPr>
                <w:noProof/>
                <w:webHidden/>
              </w:rPr>
              <w:tab/>
            </w:r>
            <w:r>
              <w:rPr>
                <w:noProof/>
                <w:webHidden/>
              </w:rPr>
              <w:fldChar w:fldCharType="begin"/>
            </w:r>
            <w:r>
              <w:rPr>
                <w:noProof/>
                <w:webHidden/>
              </w:rPr>
              <w:instrText xml:space="preserve"> PAGEREF _Toc17386681 \h </w:instrText>
            </w:r>
            <w:r>
              <w:rPr>
                <w:noProof/>
                <w:webHidden/>
              </w:rPr>
            </w:r>
            <w:r>
              <w:rPr>
                <w:noProof/>
                <w:webHidden/>
              </w:rPr>
              <w:fldChar w:fldCharType="separate"/>
            </w:r>
            <w:r>
              <w:rPr>
                <w:noProof/>
                <w:webHidden/>
              </w:rPr>
              <w:t>17</w:t>
            </w:r>
            <w:r>
              <w:rPr>
                <w:noProof/>
                <w:webHidden/>
              </w:rPr>
              <w:fldChar w:fldCharType="end"/>
            </w:r>
          </w:hyperlink>
        </w:p>
        <w:p w14:paraId="0DB24421" w14:textId="201FCD27" w:rsidR="00746906" w:rsidRDefault="00746906">
          <w:pPr>
            <w:pStyle w:val="TOC3"/>
            <w:tabs>
              <w:tab w:val="right" w:leader="dot" w:pos="8755"/>
            </w:tabs>
            <w:rPr>
              <w:rFonts w:eastAsiaTheme="minorEastAsia" w:cstheme="minorBidi"/>
              <w:noProof/>
              <w:sz w:val="24"/>
              <w:szCs w:val="24"/>
              <w:lang w:val="en-US"/>
            </w:rPr>
          </w:pPr>
          <w:hyperlink w:anchor="_Toc17386682" w:history="1">
            <w:r w:rsidRPr="00663CBD">
              <w:rPr>
                <w:rStyle w:val="Hyperlink"/>
                <w:noProof/>
              </w:rPr>
              <w:t>International Principles of Business and Human Rights</w:t>
            </w:r>
            <w:r>
              <w:rPr>
                <w:noProof/>
                <w:webHidden/>
              </w:rPr>
              <w:tab/>
            </w:r>
            <w:r>
              <w:rPr>
                <w:noProof/>
                <w:webHidden/>
              </w:rPr>
              <w:fldChar w:fldCharType="begin"/>
            </w:r>
            <w:r>
              <w:rPr>
                <w:noProof/>
                <w:webHidden/>
              </w:rPr>
              <w:instrText xml:space="preserve"> PAGEREF _Toc17386682 \h </w:instrText>
            </w:r>
            <w:r>
              <w:rPr>
                <w:noProof/>
                <w:webHidden/>
              </w:rPr>
            </w:r>
            <w:r>
              <w:rPr>
                <w:noProof/>
                <w:webHidden/>
              </w:rPr>
              <w:fldChar w:fldCharType="separate"/>
            </w:r>
            <w:r>
              <w:rPr>
                <w:noProof/>
                <w:webHidden/>
              </w:rPr>
              <w:t>17</w:t>
            </w:r>
            <w:r>
              <w:rPr>
                <w:noProof/>
                <w:webHidden/>
              </w:rPr>
              <w:fldChar w:fldCharType="end"/>
            </w:r>
          </w:hyperlink>
        </w:p>
        <w:p w14:paraId="0AEC4CBB" w14:textId="1B3D1F55" w:rsidR="00746906" w:rsidRDefault="00746906">
          <w:pPr>
            <w:pStyle w:val="TOC1"/>
            <w:tabs>
              <w:tab w:val="right" w:leader="dot" w:pos="8755"/>
            </w:tabs>
            <w:rPr>
              <w:rFonts w:eastAsiaTheme="minorEastAsia" w:cstheme="minorBidi"/>
              <w:b w:val="0"/>
              <w:bCs w:val="0"/>
              <w:i w:val="0"/>
              <w:iCs w:val="0"/>
              <w:noProof/>
              <w:lang w:val="en-US"/>
            </w:rPr>
          </w:pPr>
          <w:hyperlink w:anchor="_Toc17386683" w:history="1">
            <w:r w:rsidRPr="00663CBD">
              <w:rPr>
                <w:rStyle w:val="Hyperlink"/>
                <w:noProof/>
              </w:rPr>
              <w:t>Application of a human rights approach to Ihumātao</w:t>
            </w:r>
            <w:r>
              <w:rPr>
                <w:noProof/>
                <w:webHidden/>
              </w:rPr>
              <w:tab/>
            </w:r>
            <w:r>
              <w:rPr>
                <w:noProof/>
                <w:webHidden/>
              </w:rPr>
              <w:fldChar w:fldCharType="begin"/>
            </w:r>
            <w:r>
              <w:rPr>
                <w:noProof/>
                <w:webHidden/>
              </w:rPr>
              <w:instrText xml:space="preserve"> PAGEREF _Toc17386683 \h </w:instrText>
            </w:r>
            <w:r>
              <w:rPr>
                <w:noProof/>
                <w:webHidden/>
              </w:rPr>
            </w:r>
            <w:r>
              <w:rPr>
                <w:noProof/>
                <w:webHidden/>
              </w:rPr>
              <w:fldChar w:fldCharType="separate"/>
            </w:r>
            <w:r>
              <w:rPr>
                <w:noProof/>
                <w:webHidden/>
              </w:rPr>
              <w:t>19</w:t>
            </w:r>
            <w:r>
              <w:rPr>
                <w:noProof/>
                <w:webHidden/>
              </w:rPr>
              <w:fldChar w:fldCharType="end"/>
            </w:r>
          </w:hyperlink>
        </w:p>
        <w:p w14:paraId="264851E4" w14:textId="3013BFAE" w:rsidR="00746906" w:rsidRDefault="00746906">
          <w:pPr>
            <w:pStyle w:val="TOC1"/>
            <w:tabs>
              <w:tab w:val="right" w:leader="dot" w:pos="8755"/>
            </w:tabs>
            <w:rPr>
              <w:rFonts w:eastAsiaTheme="minorEastAsia" w:cstheme="minorBidi"/>
              <w:b w:val="0"/>
              <w:bCs w:val="0"/>
              <w:i w:val="0"/>
              <w:iCs w:val="0"/>
              <w:noProof/>
              <w:lang w:val="en-US"/>
            </w:rPr>
          </w:pPr>
          <w:hyperlink w:anchor="_Toc17386684" w:history="1">
            <w:r w:rsidRPr="00663CBD">
              <w:rPr>
                <w:rStyle w:val="Hyperlink"/>
                <w:noProof/>
              </w:rPr>
              <w:t>Scrutiny by the international human rights system</w:t>
            </w:r>
            <w:r>
              <w:rPr>
                <w:noProof/>
                <w:webHidden/>
              </w:rPr>
              <w:tab/>
            </w:r>
            <w:r>
              <w:rPr>
                <w:noProof/>
                <w:webHidden/>
              </w:rPr>
              <w:fldChar w:fldCharType="begin"/>
            </w:r>
            <w:r>
              <w:rPr>
                <w:noProof/>
                <w:webHidden/>
              </w:rPr>
              <w:instrText xml:space="preserve"> PAGEREF _Toc17386684 \h </w:instrText>
            </w:r>
            <w:r>
              <w:rPr>
                <w:noProof/>
                <w:webHidden/>
              </w:rPr>
            </w:r>
            <w:r>
              <w:rPr>
                <w:noProof/>
                <w:webHidden/>
              </w:rPr>
              <w:fldChar w:fldCharType="separate"/>
            </w:r>
            <w:r>
              <w:rPr>
                <w:noProof/>
                <w:webHidden/>
              </w:rPr>
              <w:t>20</w:t>
            </w:r>
            <w:r>
              <w:rPr>
                <w:noProof/>
                <w:webHidden/>
              </w:rPr>
              <w:fldChar w:fldCharType="end"/>
            </w:r>
          </w:hyperlink>
        </w:p>
        <w:p w14:paraId="3F7A54E5" w14:textId="55E49DD9" w:rsidR="00746906" w:rsidRDefault="00746906">
          <w:pPr>
            <w:pStyle w:val="TOC1"/>
            <w:tabs>
              <w:tab w:val="right" w:leader="dot" w:pos="8755"/>
            </w:tabs>
            <w:rPr>
              <w:rFonts w:eastAsiaTheme="minorEastAsia" w:cstheme="minorBidi"/>
              <w:b w:val="0"/>
              <w:bCs w:val="0"/>
              <w:i w:val="0"/>
              <w:iCs w:val="0"/>
              <w:noProof/>
              <w:lang w:val="en-US"/>
            </w:rPr>
          </w:pPr>
          <w:hyperlink w:anchor="_Toc17386685" w:history="1">
            <w:r w:rsidRPr="00663CBD">
              <w:rPr>
                <w:rStyle w:val="Hyperlink"/>
                <w:noProof/>
              </w:rPr>
              <w:t>Conclusions</w:t>
            </w:r>
            <w:r>
              <w:rPr>
                <w:noProof/>
                <w:webHidden/>
              </w:rPr>
              <w:tab/>
            </w:r>
            <w:r>
              <w:rPr>
                <w:noProof/>
                <w:webHidden/>
              </w:rPr>
              <w:fldChar w:fldCharType="begin"/>
            </w:r>
            <w:r>
              <w:rPr>
                <w:noProof/>
                <w:webHidden/>
              </w:rPr>
              <w:instrText xml:space="preserve"> PAGEREF _Toc17386685 \h </w:instrText>
            </w:r>
            <w:r>
              <w:rPr>
                <w:noProof/>
                <w:webHidden/>
              </w:rPr>
            </w:r>
            <w:r>
              <w:rPr>
                <w:noProof/>
                <w:webHidden/>
              </w:rPr>
              <w:fldChar w:fldCharType="separate"/>
            </w:r>
            <w:r>
              <w:rPr>
                <w:noProof/>
                <w:webHidden/>
              </w:rPr>
              <w:t>22</w:t>
            </w:r>
            <w:r>
              <w:rPr>
                <w:noProof/>
                <w:webHidden/>
              </w:rPr>
              <w:fldChar w:fldCharType="end"/>
            </w:r>
          </w:hyperlink>
        </w:p>
        <w:p w14:paraId="5317B074" w14:textId="6565676C" w:rsidR="00746906" w:rsidRDefault="00746906">
          <w:pPr>
            <w:pStyle w:val="TOC1"/>
            <w:tabs>
              <w:tab w:val="right" w:leader="dot" w:pos="8755"/>
            </w:tabs>
            <w:rPr>
              <w:rFonts w:eastAsiaTheme="minorEastAsia" w:cstheme="minorBidi"/>
              <w:b w:val="0"/>
              <w:bCs w:val="0"/>
              <w:i w:val="0"/>
              <w:iCs w:val="0"/>
              <w:noProof/>
              <w:lang w:val="en-US"/>
            </w:rPr>
          </w:pPr>
          <w:hyperlink w:anchor="_Toc17386686" w:history="1">
            <w:r w:rsidRPr="00663CBD">
              <w:rPr>
                <w:rStyle w:val="Hyperlink"/>
                <w:noProof/>
              </w:rPr>
              <w:t>References</w:t>
            </w:r>
            <w:r>
              <w:rPr>
                <w:noProof/>
                <w:webHidden/>
              </w:rPr>
              <w:tab/>
            </w:r>
            <w:r>
              <w:rPr>
                <w:noProof/>
                <w:webHidden/>
              </w:rPr>
              <w:fldChar w:fldCharType="begin"/>
            </w:r>
            <w:r>
              <w:rPr>
                <w:noProof/>
                <w:webHidden/>
              </w:rPr>
              <w:instrText xml:space="preserve"> PAGEREF _Toc17386686 \h </w:instrText>
            </w:r>
            <w:r>
              <w:rPr>
                <w:noProof/>
                <w:webHidden/>
              </w:rPr>
            </w:r>
            <w:r>
              <w:rPr>
                <w:noProof/>
                <w:webHidden/>
              </w:rPr>
              <w:fldChar w:fldCharType="separate"/>
            </w:r>
            <w:r>
              <w:rPr>
                <w:noProof/>
                <w:webHidden/>
              </w:rPr>
              <w:t>25</w:t>
            </w:r>
            <w:r>
              <w:rPr>
                <w:noProof/>
                <w:webHidden/>
              </w:rPr>
              <w:fldChar w:fldCharType="end"/>
            </w:r>
          </w:hyperlink>
        </w:p>
        <w:p w14:paraId="3F9678EC" w14:textId="1638CCCB" w:rsidR="00EB262B" w:rsidRPr="00C444CE" w:rsidRDefault="00EB262B">
          <w:r w:rsidRPr="00C444CE">
            <w:rPr>
              <w:b/>
              <w:bCs/>
              <w:noProof/>
            </w:rPr>
            <w:fldChar w:fldCharType="end"/>
          </w:r>
        </w:p>
      </w:sdtContent>
    </w:sdt>
    <w:p w14:paraId="169B3439" w14:textId="77777777" w:rsidR="00EB262B" w:rsidRPr="00C444CE" w:rsidRDefault="00EB262B">
      <w:pPr>
        <w:spacing w:line="259" w:lineRule="auto"/>
        <w:jc w:val="left"/>
        <w:rPr>
          <w:rFonts w:eastAsiaTheme="majorEastAsia"/>
          <w:b/>
          <w:bCs/>
          <w:color w:val="762123"/>
          <w:sz w:val="32"/>
          <w:szCs w:val="32"/>
        </w:rPr>
      </w:pPr>
      <w:r w:rsidRPr="00C444CE">
        <w:br w:type="page"/>
      </w:r>
    </w:p>
    <w:p w14:paraId="54BE6EA3" w14:textId="1E8CB227" w:rsidR="00455378" w:rsidRPr="00C444CE" w:rsidRDefault="00455378" w:rsidP="00EB262B">
      <w:pPr>
        <w:pStyle w:val="Heading1"/>
      </w:pPr>
      <w:bookmarkStart w:id="0" w:name="_Toc17386667"/>
      <w:r w:rsidRPr="00C444CE">
        <w:lastRenderedPageBreak/>
        <w:t xml:space="preserve">Executive </w:t>
      </w:r>
      <w:r w:rsidR="00B17828" w:rsidRPr="00C444CE">
        <w:t>Summary</w:t>
      </w:r>
      <w:bookmarkEnd w:id="0"/>
      <w:r w:rsidR="00C67388" w:rsidRPr="00C444CE">
        <w:t xml:space="preserve"> </w:t>
      </w:r>
    </w:p>
    <w:p w14:paraId="060C9C3C" w14:textId="7E04B7F0" w:rsidR="00272F85" w:rsidRPr="00C444CE" w:rsidRDefault="00C00B8B" w:rsidP="00272F85">
      <w:pPr>
        <w:spacing w:line="240" w:lineRule="auto"/>
        <w:rPr>
          <w:bCs/>
          <w:i/>
          <w:iCs/>
          <w:color w:val="262626" w:themeColor="text1" w:themeTint="D9"/>
          <w:lang w:val="mi-NZ"/>
        </w:rPr>
      </w:pPr>
      <w:r w:rsidRPr="00C444CE">
        <w:rPr>
          <w:bCs/>
          <w:i/>
          <w:iCs/>
          <w:color w:val="262626" w:themeColor="text1" w:themeTint="D9"/>
          <w:lang w:val="mi-NZ"/>
        </w:rPr>
        <w:t>Whatungarongaro te tangata</w:t>
      </w:r>
      <w:r w:rsidR="00880E2B" w:rsidRPr="00C444CE">
        <w:rPr>
          <w:bCs/>
          <w:i/>
          <w:iCs/>
          <w:color w:val="262626" w:themeColor="text1" w:themeTint="D9"/>
          <w:lang w:val="mi-NZ"/>
        </w:rPr>
        <w:t>,</w:t>
      </w:r>
      <w:r w:rsidRPr="00C444CE">
        <w:rPr>
          <w:bCs/>
          <w:i/>
          <w:iCs/>
          <w:color w:val="262626" w:themeColor="text1" w:themeTint="D9"/>
          <w:lang w:val="mi-NZ"/>
        </w:rPr>
        <w:t xml:space="preserve"> toitū te whenua</w:t>
      </w:r>
    </w:p>
    <w:p w14:paraId="0CA714ED" w14:textId="2A73FCBB" w:rsidR="0080644B" w:rsidRPr="00C444CE" w:rsidRDefault="0080644B" w:rsidP="00272F85">
      <w:pPr>
        <w:spacing w:line="240" w:lineRule="auto"/>
        <w:rPr>
          <w:bCs/>
          <w:i/>
          <w:iCs/>
          <w:color w:val="262626" w:themeColor="text1" w:themeTint="D9"/>
        </w:rPr>
      </w:pPr>
      <w:r w:rsidRPr="00C444CE">
        <w:rPr>
          <w:i/>
        </w:rPr>
        <w:t>As man disappears from sight, the land remains</w:t>
      </w:r>
      <w:r w:rsidRPr="00C444CE" w:rsidDel="0080644B">
        <w:rPr>
          <w:bCs/>
          <w:i/>
          <w:iCs/>
          <w:color w:val="262626" w:themeColor="text1" w:themeTint="D9"/>
        </w:rPr>
        <w:t xml:space="preserve"> </w:t>
      </w:r>
    </w:p>
    <w:p w14:paraId="0CBF3BD2" w14:textId="77777777" w:rsidR="00C00B8B" w:rsidRPr="00C444CE" w:rsidRDefault="00C00B8B" w:rsidP="00272F85">
      <w:pPr>
        <w:spacing w:line="240" w:lineRule="auto"/>
        <w:rPr>
          <w:i/>
          <w:iCs/>
          <w:color w:val="262626" w:themeColor="text1" w:themeTint="D9"/>
        </w:rPr>
      </w:pPr>
    </w:p>
    <w:p w14:paraId="38091CE6" w14:textId="153179EF" w:rsidR="007061E3" w:rsidRPr="00C444CE" w:rsidRDefault="00DE6BB3" w:rsidP="00087F5C">
      <w:pPr>
        <w:spacing w:line="312" w:lineRule="auto"/>
      </w:pPr>
      <w:r w:rsidRPr="00C444CE">
        <w:t xml:space="preserve">The </w:t>
      </w:r>
      <w:r w:rsidR="00B44728" w:rsidRPr="00C444CE">
        <w:t>history of</w:t>
      </w:r>
      <w:r w:rsidR="00C41D2C" w:rsidRPr="00C444CE">
        <w:t xml:space="preserve"> the land at</w:t>
      </w:r>
      <w:r w:rsidR="00B44728" w:rsidRPr="00C444CE">
        <w:t xml:space="preserve"> </w:t>
      </w:r>
      <w:r w:rsidRPr="00C444CE">
        <w:t>Ihumātao</w:t>
      </w:r>
      <w:r w:rsidR="008F0452" w:rsidRPr="00C444CE">
        <w:t xml:space="preserve"> </w:t>
      </w:r>
      <w:r w:rsidR="007741E2" w:rsidRPr="00C444CE">
        <w:t>and the event</w:t>
      </w:r>
      <w:r w:rsidR="00493063" w:rsidRPr="00C444CE">
        <w:t xml:space="preserve">s currently </w:t>
      </w:r>
      <w:r w:rsidR="00ED13AA" w:rsidRPr="00C444CE">
        <w:t>unfolding</w:t>
      </w:r>
      <w:r w:rsidR="00C41D2C" w:rsidRPr="00C444CE">
        <w:t xml:space="preserve"> regarding its </w:t>
      </w:r>
      <w:r w:rsidR="00772381" w:rsidRPr="00C444CE">
        <w:t xml:space="preserve">development </w:t>
      </w:r>
      <w:r w:rsidR="00633075" w:rsidRPr="00C444CE">
        <w:t xml:space="preserve">pose significant and unique challenges for human rights in </w:t>
      </w:r>
      <w:r w:rsidR="00EE0247" w:rsidRPr="00C444CE">
        <w:t>Aotea</w:t>
      </w:r>
      <w:r w:rsidR="00A42371" w:rsidRPr="00C444CE">
        <w:t>roa New Zealand.</w:t>
      </w:r>
      <w:r w:rsidR="0054634F" w:rsidRPr="00C444CE">
        <w:t xml:space="preserve"> </w:t>
      </w:r>
      <w:r w:rsidR="008D2F84" w:rsidRPr="00C444CE">
        <w:t xml:space="preserve"> </w:t>
      </w:r>
      <w:r w:rsidR="001D11EA" w:rsidRPr="00C444CE">
        <w:t xml:space="preserve">The </w:t>
      </w:r>
      <w:r w:rsidR="00E951A7">
        <w:t xml:space="preserve">land was confiscated in the </w:t>
      </w:r>
      <w:r w:rsidR="00C51102" w:rsidRPr="00C444CE">
        <w:t xml:space="preserve">1860s </w:t>
      </w:r>
      <w:r w:rsidR="00813714" w:rsidRPr="00C444CE">
        <w:t xml:space="preserve">by the New Zealand Government </w:t>
      </w:r>
      <w:r w:rsidR="00E8194E" w:rsidRPr="00C444CE">
        <w:t>and is of</w:t>
      </w:r>
      <w:r w:rsidR="00010D31" w:rsidRPr="00C444CE">
        <w:t xml:space="preserve"> </w:t>
      </w:r>
      <w:r w:rsidR="001C0A5E" w:rsidRPr="00C444CE">
        <w:t xml:space="preserve">major </w:t>
      </w:r>
      <w:r w:rsidR="00A57ED4" w:rsidRPr="00C444CE">
        <w:t>cultural, spiritual and historical significance to</w:t>
      </w:r>
      <w:r w:rsidR="00E0313E" w:rsidRPr="00C444CE">
        <w:t xml:space="preserve"> mana wh</w:t>
      </w:r>
      <w:r w:rsidR="00DA210F" w:rsidRPr="00C444CE">
        <w:t>e</w:t>
      </w:r>
      <w:r w:rsidR="00E0313E" w:rsidRPr="00C444CE">
        <w:t>nua</w:t>
      </w:r>
      <w:r w:rsidR="00996643" w:rsidRPr="00C444CE">
        <w:t xml:space="preserve">. </w:t>
      </w:r>
      <w:r w:rsidR="00FE7EB2" w:rsidRPr="00C444CE">
        <w:t xml:space="preserve"> </w:t>
      </w:r>
      <w:r w:rsidR="000D363F" w:rsidRPr="00C444CE">
        <w:t>As one of the first sites where Māori landed in Aotearoa, it is</w:t>
      </w:r>
      <w:r w:rsidR="003C2C34" w:rsidRPr="00C444CE">
        <w:t xml:space="preserve"> also</w:t>
      </w:r>
      <w:r w:rsidR="000D363F" w:rsidRPr="00C444CE">
        <w:t xml:space="preserve"> </w:t>
      </w:r>
      <w:r w:rsidR="002A2778" w:rsidRPr="00C444CE">
        <w:t>of historical signif</w:t>
      </w:r>
      <w:r w:rsidR="003C2C34" w:rsidRPr="00C444CE">
        <w:t>icance for all New Zealanders.</w:t>
      </w:r>
    </w:p>
    <w:p w14:paraId="6DA3E0C8" w14:textId="788E777D" w:rsidR="0054634F" w:rsidRPr="00C444CE" w:rsidRDefault="002B77F3" w:rsidP="00EB262B">
      <w:r w:rsidRPr="00C444CE">
        <w:t xml:space="preserve">These </w:t>
      </w:r>
      <w:r w:rsidR="00483A9D" w:rsidRPr="00C444CE">
        <w:t xml:space="preserve">factors raise </w:t>
      </w:r>
      <w:r w:rsidRPr="00C444CE">
        <w:t xml:space="preserve">important </w:t>
      </w:r>
      <w:r w:rsidR="006F0BCE" w:rsidRPr="00C444CE">
        <w:t>human rights issues</w:t>
      </w:r>
      <w:r w:rsidR="00C13D72" w:rsidRPr="00C444CE">
        <w:t xml:space="preserve"> and challenges</w:t>
      </w:r>
      <w:r w:rsidR="006F0BCE" w:rsidRPr="00C444CE">
        <w:t xml:space="preserve">. </w:t>
      </w:r>
      <w:r w:rsidR="00A4553D" w:rsidRPr="00C444CE">
        <w:t xml:space="preserve">Most specifically, </w:t>
      </w:r>
      <w:r w:rsidR="00111E74" w:rsidRPr="00C444CE">
        <w:t xml:space="preserve">they raise </w:t>
      </w:r>
      <w:r w:rsidR="005738D0" w:rsidRPr="00C444CE">
        <w:t xml:space="preserve">issues relevant to </w:t>
      </w:r>
      <w:r w:rsidR="0083560F" w:rsidRPr="00C444CE">
        <w:t>New Zealand’s</w:t>
      </w:r>
      <w:r w:rsidR="00731493" w:rsidRPr="00C444CE">
        <w:t xml:space="preserve"> human rights commitments </w:t>
      </w:r>
      <w:r w:rsidR="0054634F" w:rsidRPr="00C444CE">
        <w:t>under the United Nations Declaration on the Rights of Indigenous Peoples (“the Declaration”)</w:t>
      </w:r>
      <w:r w:rsidR="00731493" w:rsidRPr="00C444CE">
        <w:t>.</w:t>
      </w:r>
    </w:p>
    <w:p w14:paraId="46EEAFA0" w14:textId="4E0F6D60" w:rsidR="00B53FD3" w:rsidRPr="00C444CE" w:rsidRDefault="00FE6B95" w:rsidP="00EB262B">
      <w:r w:rsidRPr="00C444CE">
        <w:t>While much has been written to date on Ihumātao, t</w:t>
      </w:r>
      <w:r w:rsidR="00731493" w:rsidRPr="00C444CE">
        <w:t xml:space="preserve">he </w:t>
      </w:r>
      <w:r w:rsidR="005B0A82" w:rsidRPr="00C444CE">
        <w:t xml:space="preserve">Human Rights </w:t>
      </w:r>
      <w:r w:rsidR="00DE6BB3" w:rsidRPr="00C444CE">
        <w:t xml:space="preserve">Commission </w:t>
      </w:r>
      <w:r w:rsidR="005B0A82" w:rsidRPr="00C444CE">
        <w:t xml:space="preserve">(“Commission”) </w:t>
      </w:r>
      <w:r w:rsidR="00731493" w:rsidRPr="00C444CE">
        <w:t xml:space="preserve">has </w:t>
      </w:r>
      <w:r w:rsidR="00194C33" w:rsidRPr="00C444CE">
        <w:t xml:space="preserve">developed this report </w:t>
      </w:r>
      <w:r w:rsidR="00B60204" w:rsidRPr="00C444CE">
        <w:t xml:space="preserve">to </w:t>
      </w:r>
      <w:r w:rsidR="00EA6BD5" w:rsidRPr="00C444CE">
        <w:t>provide a</w:t>
      </w:r>
      <w:r w:rsidR="00AD0AF5" w:rsidRPr="00C444CE">
        <w:t xml:space="preserve"> distinctive</w:t>
      </w:r>
      <w:r w:rsidR="00EA6BD5" w:rsidRPr="00C444CE">
        <w:t xml:space="preserve"> perspective on </w:t>
      </w:r>
      <w:r w:rsidR="00897C57" w:rsidRPr="00C444CE">
        <w:t>how New Zealand’s human rights commitments under the Declar</w:t>
      </w:r>
      <w:r w:rsidR="00265538" w:rsidRPr="00C444CE">
        <w:t>ation</w:t>
      </w:r>
      <w:r w:rsidR="00CB339E" w:rsidRPr="00C444CE">
        <w:t xml:space="preserve"> can provide</w:t>
      </w:r>
      <w:r w:rsidR="007C3EBF" w:rsidRPr="00C444CE">
        <w:t>, alongsi</w:t>
      </w:r>
      <w:r w:rsidR="002923FE" w:rsidRPr="00C444CE">
        <w:t xml:space="preserve">de </w:t>
      </w:r>
      <w:r w:rsidR="00665DB9" w:rsidRPr="00C444CE">
        <w:t>Te Tiriti</w:t>
      </w:r>
      <w:r w:rsidR="00720C59" w:rsidRPr="00C444CE">
        <w:t xml:space="preserve"> o Waitangi (“Te Tiriti”)</w:t>
      </w:r>
      <w:r w:rsidR="00665DB9" w:rsidRPr="00C444CE">
        <w:t>,</w:t>
      </w:r>
      <w:r w:rsidR="00CB339E" w:rsidRPr="00C444CE">
        <w:t xml:space="preserve"> </w:t>
      </w:r>
      <w:r w:rsidR="001C0A5E" w:rsidRPr="00C444CE">
        <w:t xml:space="preserve">a compelling and constructive </w:t>
      </w:r>
      <w:r w:rsidR="00FB25AC" w:rsidRPr="00C444CE">
        <w:t xml:space="preserve">framework within which </w:t>
      </w:r>
      <w:r w:rsidR="00BC2D85" w:rsidRPr="00C444CE">
        <w:t>the</w:t>
      </w:r>
      <w:r w:rsidR="00F2548E" w:rsidRPr="00C444CE">
        <w:t xml:space="preserve"> situation at Ihumātao</w:t>
      </w:r>
      <w:r w:rsidR="00F2548E" w:rsidRPr="00C444CE" w:rsidDel="00F2548E">
        <w:t xml:space="preserve"> </w:t>
      </w:r>
      <w:r w:rsidR="00BC2D85" w:rsidRPr="00C444CE">
        <w:t>can be</w:t>
      </w:r>
      <w:r w:rsidR="0080644B" w:rsidRPr="00C444CE">
        <w:t xml:space="preserve"> </w:t>
      </w:r>
      <w:r w:rsidR="003F2E7D" w:rsidRPr="00C444CE">
        <w:t>considered</w:t>
      </w:r>
      <w:r w:rsidR="00F61C29" w:rsidRPr="00C444CE">
        <w:t>.</w:t>
      </w:r>
    </w:p>
    <w:p w14:paraId="445080E7" w14:textId="39DBC5E8" w:rsidR="0054634F" w:rsidRPr="00C444CE" w:rsidRDefault="004D495F" w:rsidP="00EB262B">
      <w:r w:rsidRPr="00C444CE">
        <w:t>We do so under our statu</w:t>
      </w:r>
      <w:r w:rsidR="009F1A5A" w:rsidRPr="00C444CE">
        <w:t>tory</w:t>
      </w:r>
      <w:r w:rsidR="00395051" w:rsidRPr="00C444CE">
        <w:t xml:space="preserve"> mandate as New Zealand’s </w:t>
      </w:r>
      <w:r w:rsidR="001C0A5E" w:rsidRPr="00C444CE">
        <w:t>n</w:t>
      </w:r>
      <w:r w:rsidR="00395051" w:rsidRPr="00C444CE">
        <w:t xml:space="preserve">ational </w:t>
      </w:r>
      <w:r w:rsidR="001C0A5E" w:rsidRPr="00C444CE">
        <w:t>h</w:t>
      </w:r>
      <w:r w:rsidR="00395051" w:rsidRPr="00C444CE">
        <w:t xml:space="preserve">uman </w:t>
      </w:r>
      <w:r w:rsidR="001C0A5E" w:rsidRPr="00C444CE">
        <w:t>r</w:t>
      </w:r>
      <w:r w:rsidR="00395051" w:rsidRPr="00C444CE">
        <w:t xml:space="preserve">ights </w:t>
      </w:r>
      <w:r w:rsidR="001C0A5E" w:rsidRPr="00C444CE">
        <w:t>i</w:t>
      </w:r>
      <w:r w:rsidR="00395051" w:rsidRPr="00C444CE">
        <w:t>nstitution and our statutory</w:t>
      </w:r>
      <w:r w:rsidR="009F1A5A" w:rsidRPr="00C444CE">
        <w:t xml:space="preserve"> function to promote the human rights dimensions of Te Tiriti</w:t>
      </w:r>
      <w:r w:rsidR="003D3DD5" w:rsidRPr="00C444CE">
        <w:t xml:space="preserve">. </w:t>
      </w:r>
    </w:p>
    <w:p w14:paraId="4ECF60CA" w14:textId="1A618B27" w:rsidR="00AA1ECA" w:rsidRPr="00C444CE" w:rsidRDefault="00711EE0" w:rsidP="00EB262B">
      <w:r w:rsidRPr="00C444CE">
        <w:t>T</w:t>
      </w:r>
      <w:r w:rsidR="00866E45" w:rsidRPr="00C444CE">
        <w:t>he Declaration</w:t>
      </w:r>
      <w:r w:rsidR="007511C1" w:rsidRPr="00C444CE">
        <w:t xml:space="preserve"> itself is an international human rights document of </w:t>
      </w:r>
      <w:r w:rsidR="001C0A5E" w:rsidRPr="00C444CE">
        <w:t xml:space="preserve">great </w:t>
      </w:r>
      <w:r w:rsidR="007511C1" w:rsidRPr="00C444CE">
        <w:t>significance. It</w:t>
      </w:r>
      <w:r w:rsidR="00BA4E34" w:rsidRPr="00C444CE">
        <w:t xml:space="preserve"> reflects a global consensus on the rights of indigenous peoples</w:t>
      </w:r>
      <w:r w:rsidR="007511C1" w:rsidRPr="00C444CE">
        <w:t xml:space="preserve"> and complements the</w:t>
      </w:r>
      <w:r w:rsidR="00DA13B8" w:rsidRPr="00C444CE">
        <w:t xml:space="preserve"> international law obligations </w:t>
      </w:r>
      <w:r w:rsidR="005D71C9" w:rsidRPr="00C444CE">
        <w:t xml:space="preserve">contained </w:t>
      </w:r>
      <w:r w:rsidR="007511C1" w:rsidRPr="00C444CE">
        <w:t xml:space="preserve">in </w:t>
      </w:r>
      <w:r w:rsidR="00801E7F" w:rsidRPr="00C444CE">
        <w:t>the</w:t>
      </w:r>
      <w:r w:rsidR="00432D4B" w:rsidRPr="00C444CE">
        <w:t xml:space="preserve"> UN</w:t>
      </w:r>
      <w:r w:rsidR="00801E7F" w:rsidRPr="00C444CE">
        <w:t xml:space="preserve"> </w:t>
      </w:r>
      <w:r w:rsidR="007511C1" w:rsidRPr="00C444CE">
        <w:t>human rights treaties</w:t>
      </w:r>
      <w:r w:rsidR="00C15A16" w:rsidRPr="00C444CE">
        <w:t xml:space="preserve"> that </w:t>
      </w:r>
      <w:r w:rsidR="00704755" w:rsidRPr="00C444CE">
        <w:t xml:space="preserve">New Zealand </w:t>
      </w:r>
      <w:r w:rsidR="005D71C9" w:rsidRPr="00C444CE">
        <w:t>is a party to.</w:t>
      </w:r>
      <w:r w:rsidR="00A36107" w:rsidRPr="00C444CE">
        <w:t xml:space="preserve"> The New Zealand Government has endorsed the Declaration and </w:t>
      </w:r>
      <w:r w:rsidR="0055704D" w:rsidRPr="00C444CE">
        <w:t>by doing so</w:t>
      </w:r>
      <w:r w:rsidR="00A36107" w:rsidRPr="00C444CE">
        <w:t xml:space="preserve"> has </w:t>
      </w:r>
      <w:r w:rsidR="00E76FBB" w:rsidRPr="00C444CE">
        <w:t xml:space="preserve">made a </w:t>
      </w:r>
      <w:r w:rsidR="009C73EB" w:rsidRPr="00C444CE">
        <w:t>commitment</w:t>
      </w:r>
      <w:r w:rsidR="00A36107" w:rsidRPr="00C444CE">
        <w:t xml:space="preserve"> to uphold the rights contained in it. Indeed,</w:t>
      </w:r>
      <w:r w:rsidR="00E652FD" w:rsidRPr="00C444CE">
        <w:t xml:space="preserve"> to demonstrate this commitment</w:t>
      </w:r>
      <w:r w:rsidR="00A36107" w:rsidRPr="00C444CE">
        <w:t xml:space="preserve"> th</w:t>
      </w:r>
      <w:r w:rsidR="004A2FE0" w:rsidRPr="00C444CE">
        <w:t>e</w:t>
      </w:r>
      <w:r w:rsidR="00A36107" w:rsidRPr="00C444CE">
        <w:t xml:space="preserve"> Government has </w:t>
      </w:r>
      <w:r w:rsidR="004A2FE0" w:rsidRPr="00C444CE">
        <w:t xml:space="preserve">recently </w:t>
      </w:r>
      <w:r w:rsidR="00A36107" w:rsidRPr="00C444CE">
        <w:t>commenced work on a</w:t>
      </w:r>
      <w:r w:rsidR="006F11A1" w:rsidRPr="00C444CE">
        <w:t xml:space="preserve"> plan to </w:t>
      </w:r>
      <w:r w:rsidR="00785BE7" w:rsidRPr="00C444CE">
        <w:t xml:space="preserve">progress the </w:t>
      </w:r>
      <w:r w:rsidR="00A36107" w:rsidRPr="00C444CE">
        <w:t>Declaration</w:t>
      </w:r>
      <w:r w:rsidR="00785BE7" w:rsidRPr="00C444CE">
        <w:t xml:space="preserve"> in Aotear</w:t>
      </w:r>
      <w:r w:rsidR="00305990" w:rsidRPr="00C444CE">
        <w:t>oa New Zealand</w:t>
      </w:r>
      <w:r w:rsidR="00E652FD" w:rsidRPr="00C444CE">
        <w:t>.</w:t>
      </w:r>
    </w:p>
    <w:p w14:paraId="52D40ED7" w14:textId="20D1837E" w:rsidR="00EB262B" w:rsidRPr="00C444CE" w:rsidRDefault="007F1BB7" w:rsidP="00EB262B">
      <w:r w:rsidRPr="00C444CE">
        <w:t>The Declaration</w:t>
      </w:r>
      <w:r w:rsidR="005D71C9" w:rsidRPr="00C444CE">
        <w:t xml:space="preserve"> also complements New Zealand’s </w:t>
      </w:r>
      <w:r w:rsidR="009126FC" w:rsidRPr="00C444CE">
        <w:t xml:space="preserve">constitutional </w:t>
      </w:r>
      <w:r w:rsidR="00D13297" w:rsidRPr="00C444CE">
        <w:t>obligations</w:t>
      </w:r>
      <w:r w:rsidR="009126FC" w:rsidRPr="00C444CE">
        <w:t xml:space="preserve"> under Te Tiriti. </w:t>
      </w:r>
      <w:r w:rsidRPr="00C444CE">
        <w:t xml:space="preserve"> </w:t>
      </w:r>
      <w:r w:rsidR="00A76726" w:rsidRPr="00C444CE">
        <w:t xml:space="preserve">For example, at the core of the Declaration is the right of indigenous </w:t>
      </w:r>
      <w:r w:rsidR="00A76726" w:rsidRPr="00C444CE">
        <w:lastRenderedPageBreak/>
        <w:t>people</w:t>
      </w:r>
      <w:r w:rsidR="001C0A5E" w:rsidRPr="00C444CE">
        <w:t>s</w:t>
      </w:r>
      <w:r w:rsidR="00A76726" w:rsidRPr="00C444CE">
        <w:t xml:space="preserve"> to self-determination. This right is also at the core of Te Tiriti as </w:t>
      </w:r>
      <w:r w:rsidR="00A76726" w:rsidRPr="0071333E">
        <w:t>tino rangatiratanga</w:t>
      </w:r>
      <w:r w:rsidR="007C44C2" w:rsidRPr="00C444CE">
        <w:rPr>
          <w:i/>
        </w:rPr>
        <w:t xml:space="preserve"> </w:t>
      </w:r>
      <w:r w:rsidR="007C44C2" w:rsidRPr="00C444CE">
        <w:t xml:space="preserve">and is found in international human rights treaties </w:t>
      </w:r>
      <w:r w:rsidR="00D77146" w:rsidRPr="00C444CE">
        <w:t>New Zealand has ratified, such as the</w:t>
      </w:r>
      <w:r w:rsidR="00D93190" w:rsidRPr="00C444CE">
        <w:t xml:space="preserve"> International Covenant on Economic, Social and </w:t>
      </w:r>
      <w:r w:rsidR="00F83F54" w:rsidRPr="00C444CE">
        <w:t>Cultural Rights.</w:t>
      </w:r>
      <w:r w:rsidR="00417C69" w:rsidRPr="00C444CE">
        <w:rPr>
          <w:rStyle w:val="EndnoteReference"/>
        </w:rPr>
        <w:endnoteReference w:id="2"/>
      </w:r>
      <w:r w:rsidR="00D77146" w:rsidRPr="00C444CE">
        <w:t xml:space="preserve"> </w:t>
      </w:r>
      <w:r w:rsidR="0021297D" w:rsidRPr="00C444CE">
        <w:t xml:space="preserve">The </w:t>
      </w:r>
      <w:r w:rsidR="0073549E" w:rsidRPr="00C444CE">
        <w:t xml:space="preserve">Declaration </w:t>
      </w:r>
      <w:r w:rsidRPr="00C444CE">
        <w:t>align</w:t>
      </w:r>
      <w:r w:rsidR="0073549E" w:rsidRPr="00C444CE">
        <w:t>s</w:t>
      </w:r>
      <w:r w:rsidRPr="00C444CE">
        <w:t xml:space="preserve"> with Te Ao Māori (</w:t>
      </w:r>
      <w:r w:rsidR="003942BF" w:rsidRPr="00C444CE">
        <w:t xml:space="preserve">the </w:t>
      </w:r>
      <w:r w:rsidRPr="00C444CE">
        <w:t xml:space="preserve">Māori worldview) including the inter-relationship between people and </w:t>
      </w:r>
      <w:r w:rsidR="006240E5" w:rsidRPr="00C444CE">
        <w:t xml:space="preserve">the </w:t>
      </w:r>
      <w:r w:rsidRPr="00C444CE">
        <w:t>natural</w:t>
      </w:r>
      <w:r w:rsidR="006240E5" w:rsidRPr="00C444CE">
        <w:t xml:space="preserve"> world</w:t>
      </w:r>
      <w:r w:rsidR="00CC1B2E" w:rsidRPr="00C444CE">
        <w:t xml:space="preserve"> and kaitiakitanga (guardianship) of these</w:t>
      </w:r>
      <w:r w:rsidR="00B40E21" w:rsidRPr="00C444CE">
        <w:t xml:space="preserve"> natural resources</w:t>
      </w:r>
      <w:r w:rsidRPr="00C444CE">
        <w:t>.</w:t>
      </w:r>
    </w:p>
    <w:p w14:paraId="69110C02" w14:textId="074A4444" w:rsidR="00DE6BB3" w:rsidRPr="00C444CE" w:rsidRDefault="006C42BE" w:rsidP="00EB262B">
      <w:r w:rsidRPr="00C444CE">
        <w:t>In th</w:t>
      </w:r>
      <w:r w:rsidR="007A5256" w:rsidRPr="00C444CE">
        <w:t xml:space="preserve">is report, the </w:t>
      </w:r>
      <w:r w:rsidR="00B332E3" w:rsidRPr="00C444CE">
        <w:t>Commission</w:t>
      </w:r>
      <w:r w:rsidR="000E3927" w:rsidRPr="00C444CE">
        <w:t xml:space="preserve"> has identified</w:t>
      </w:r>
      <w:r w:rsidR="00950ED4" w:rsidRPr="00C444CE">
        <w:t xml:space="preserve"> a number of</w:t>
      </w:r>
      <w:r w:rsidR="000E3927" w:rsidRPr="00C444CE">
        <w:t xml:space="preserve"> </w:t>
      </w:r>
      <w:r w:rsidR="00846454" w:rsidRPr="00C444CE">
        <w:t>rights</w:t>
      </w:r>
      <w:r w:rsidR="006537CC" w:rsidRPr="00C444CE">
        <w:t xml:space="preserve"> and pri</w:t>
      </w:r>
      <w:r w:rsidR="00151929" w:rsidRPr="00C444CE">
        <w:t>nciples contained</w:t>
      </w:r>
      <w:r w:rsidR="00846454" w:rsidRPr="00C444CE">
        <w:t xml:space="preserve"> in the Declaration that </w:t>
      </w:r>
      <w:r w:rsidR="00C424F5" w:rsidRPr="00C444CE">
        <w:t xml:space="preserve">flow from the right to self-determination and which </w:t>
      </w:r>
      <w:r w:rsidR="00846454" w:rsidRPr="00C444CE">
        <w:t>we consider are of direct</w:t>
      </w:r>
      <w:r w:rsidR="000165A0" w:rsidRPr="00C444CE">
        <w:t xml:space="preserve"> application to </w:t>
      </w:r>
      <w:r w:rsidRPr="00C444CE">
        <w:t>Ihumātao</w:t>
      </w:r>
      <w:r w:rsidR="00307CE3" w:rsidRPr="00C444CE">
        <w:t>. These are:</w:t>
      </w:r>
    </w:p>
    <w:p w14:paraId="70B75C45" w14:textId="77777777" w:rsidR="00A241F1" w:rsidRPr="00C444CE" w:rsidRDefault="00A241F1" w:rsidP="00EB262B">
      <w:pPr>
        <w:pStyle w:val="ListParagraph"/>
        <w:numPr>
          <w:ilvl w:val="0"/>
          <w:numId w:val="24"/>
        </w:numPr>
      </w:pPr>
      <w:r w:rsidRPr="00C444CE">
        <w:rPr>
          <w:b/>
        </w:rPr>
        <w:t>The right to land</w:t>
      </w:r>
      <w:r w:rsidRPr="00C444CE">
        <w:t xml:space="preserve"> requires the Government to protect Māori rights to their lands, territories and resources which they have traditionally owned, occupied or used.</w:t>
      </w:r>
    </w:p>
    <w:p w14:paraId="051A3A3B" w14:textId="4299E262" w:rsidR="00A241F1" w:rsidRPr="00C444CE" w:rsidRDefault="00A241F1" w:rsidP="00EB262B">
      <w:pPr>
        <w:pStyle w:val="ListParagraph"/>
        <w:numPr>
          <w:ilvl w:val="0"/>
          <w:numId w:val="24"/>
        </w:numPr>
      </w:pPr>
      <w:r w:rsidRPr="00C444CE">
        <w:rPr>
          <w:b/>
        </w:rPr>
        <w:t>The right to culture</w:t>
      </w:r>
      <w:r w:rsidRPr="00C444CE">
        <w:t xml:space="preserve"> affirms the right of Māori to maintain, protect and develop the dignity of their culture.</w:t>
      </w:r>
    </w:p>
    <w:p w14:paraId="30609C89" w14:textId="2136B558" w:rsidR="00E62FC8" w:rsidRPr="00C444CE" w:rsidRDefault="00307CE3" w:rsidP="00EB262B">
      <w:pPr>
        <w:pStyle w:val="ListParagraph"/>
        <w:numPr>
          <w:ilvl w:val="0"/>
          <w:numId w:val="24"/>
        </w:numPr>
      </w:pPr>
      <w:r w:rsidRPr="00C444CE">
        <w:rPr>
          <w:b/>
        </w:rPr>
        <w:t>The right to p</w:t>
      </w:r>
      <w:r w:rsidR="00E62FC8" w:rsidRPr="00C444CE">
        <w:rPr>
          <w:b/>
        </w:rPr>
        <w:t>rotection</w:t>
      </w:r>
      <w:r w:rsidR="00E62FC8" w:rsidRPr="00C444CE">
        <w:t xml:space="preserve"> requires </w:t>
      </w:r>
      <w:r w:rsidR="00663409" w:rsidRPr="00C444CE">
        <w:t>the Government</w:t>
      </w:r>
      <w:r w:rsidR="00E62FC8" w:rsidRPr="00C444CE">
        <w:t xml:space="preserve"> to recogni</w:t>
      </w:r>
      <w:r w:rsidR="003942BF" w:rsidRPr="00C444CE">
        <w:t>s</w:t>
      </w:r>
      <w:r w:rsidR="00E62FC8" w:rsidRPr="00C444CE">
        <w:t>e and protect the</w:t>
      </w:r>
      <w:r w:rsidR="00663409" w:rsidRPr="00C444CE">
        <w:t xml:space="preserve"> right of Māori </w:t>
      </w:r>
      <w:r w:rsidR="00E62FC8" w:rsidRPr="00C444CE">
        <w:t>to maintain, control, protect and develop their rights</w:t>
      </w:r>
      <w:r w:rsidR="009F7983" w:rsidRPr="00C444CE">
        <w:t xml:space="preserve"> under the Declaration</w:t>
      </w:r>
      <w:r w:rsidR="00E62FC8" w:rsidRPr="00C444CE">
        <w:t>.</w:t>
      </w:r>
    </w:p>
    <w:p w14:paraId="1B2468B4" w14:textId="22B5F6BA" w:rsidR="00E62FC8" w:rsidRPr="00C444CE" w:rsidRDefault="00307CE3" w:rsidP="00EB262B">
      <w:pPr>
        <w:pStyle w:val="ListParagraph"/>
        <w:numPr>
          <w:ilvl w:val="0"/>
          <w:numId w:val="24"/>
        </w:numPr>
      </w:pPr>
      <w:r w:rsidRPr="00C444CE">
        <w:rPr>
          <w:b/>
        </w:rPr>
        <w:t xml:space="preserve">The </w:t>
      </w:r>
      <w:r w:rsidR="00DD4B9F" w:rsidRPr="00C444CE">
        <w:rPr>
          <w:b/>
        </w:rPr>
        <w:t>r</w:t>
      </w:r>
      <w:r w:rsidRPr="00C444CE">
        <w:rPr>
          <w:b/>
        </w:rPr>
        <w:t xml:space="preserve">ight to </w:t>
      </w:r>
      <w:r w:rsidR="00DD4B9F" w:rsidRPr="00C444CE">
        <w:rPr>
          <w:b/>
        </w:rPr>
        <w:t>p</w:t>
      </w:r>
      <w:r w:rsidR="00E62FC8" w:rsidRPr="00C444CE">
        <w:rPr>
          <w:b/>
        </w:rPr>
        <w:t>articipation</w:t>
      </w:r>
      <w:r w:rsidR="00E62FC8" w:rsidRPr="00C444CE">
        <w:t xml:space="preserve"> requires </w:t>
      </w:r>
      <w:r w:rsidR="009F7983" w:rsidRPr="00C444CE">
        <w:t xml:space="preserve">the Government </w:t>
      </w:r>
      <w:r w:rsidR="00E62FC8" w:rsidRPr="00C444CE">
        <w:t>to consult with</w:t>
      </w:r>
      <w:r w:rsidR="009F7983" w:rsidRPr="00C444CE">
        <w:t xml:space="preserve"> Māori</w:t>
      </w:r>
      <w:r w:rsidR="00E62FC8" w:rsidRPr="00C444CE">
        <w:t xml:space="preserve"> in good faith with the objective of obtaining their consent on measures that may affect</w:t>
      </w:r>
      <w:r w:rsidRPr="00C444CE">
        <w:t xml:space="preserve"> them</w:t>
      </w:r>
      <w:r w:rsidR="00E62FC8" w:rsidRPr="00C444CE">
        <w:t>.</w:t>
      </w:r>
    </w:p>
    <w:p w14:paraId="2F740AFB" w14:textId="0C60DB85" w:rsidR="00DD4B9F" w:rsidRPr="00C444CE" w:rsidRDefault="00DD4B9F" w:rsidP="00EB262B">
      <w:pPr>
        <w:pStyle w:val="ListParagraph"/>
        <w:numPr>
          <w:ilvl w:val="0"/>
          <w:numId w:val="24"/>
        </w:numPr>
      </w:pPr>
      <w:r w:rsidRPr="00C444CE">
        <w:rPr>
          <w:b/>
        </w:rPr>
        <w:t>The right to free, prior and informed consent</w:t>
      </w:r>
      <w:r w:rsidRPr="00C444CE">
        <w:t xml:space="preserve"> is a central component of the </w:t>
      </w:r>
      <w:r w:rsidR="004C6307" w:rsidRPr="00C444CE">
        <w:t>right to participation</w:t>
      </w:r>
      <w:r w:rsidR="001D7D90" w:rsidRPr="00C444CE">
        <w:t xml:space="preserve">. It </w:t>
      </w:r>
      <w:r w:rsidR="00CE6902">
        <w:t>involves</w:t>
      </w:r>
      <w:r w:rsidRPr="00C444CE">
        <w:t xml:space="preserve"> the right of Māori to be fully informed, be appropriately consulted with</w:t>
      </w:r>
      <w:r w:rsidR="001C0A5E" w:rsidRPr="00C444CE">
        <w:t>,</w:t>
      </w:r>
      <w:r w:rsidRPr="00C444CE">
        <w:t xml:space="preserve"> and to fully participate in</w:t>
      </w:r>
      <w:r w:rsidR="001C0A5E" w:rsidRPr="00C444CE">
        <w:t>,</w:t>
      </w:r>
      <w:r w:rsidRPr="00C444CE">
        <w:t xml:space="preserve"> any decision-making relevant to their ancestral right to land, territories and resources</w:t>
      </w:r>
      <w:r w:rsidR="00037ADE">
        <w:t>.</w:t>
      </w:r>
    </w:p>
    <w:p w14:paraId="047BCAAB" w14:textId="29704109" w:rsidR="00E62FC8" w:rsidRPr="00C444CE" w:rsidRDefault="00DD4B9F" w:rsidP="00EB262B">
      <w:pPr>
        <w:pStyle w:val="ListParagraph"/>
        <w:numPr>
          <w:ilvl w:val="0"/>
          <w:numId w:val="24"/>
        </w:numPr>
      </w:pPr>
      <w:r w:rsidRPr="00C444CE">
        <w:rPr>
          <w:b/>
        </w:rPr>
        <w:t>The principle of g</w:t>
      </w:r>
      <w:r w:rsidR="00E62FC8" w:rsidRPr="00C444CE">
        <w:rPr>
          <w:b/>
        </w:rPr>
        <w:t>ood faith</w:t>
      </w:r>
      <w:r w:rsidR="00E62FC8" w:rsidRPr="00C444CE">
        <w:t xml:space="preserve"> requires consultations be carried out in </w:t>
      </w:r>
      <w:r w:rsidR="001D7D90" w:rsidRPr="00C444CE">
        <w:t xml:space="preserve">the spirit of </w:t>
      </w:r>
      <w:r w:rsidR="00E62FC8" w:rsidRPr="00C444CE">
        <w:t>mutual trust and transparency.</w:t>
      </w:r>
    </w:p>
    <w:p w14:paraId="484819A8" w14:textId="18968207" w:rsidR="00E62FC8" w:rsidRPr="00C444CE" w:rsidRDefault="00307CE3" w:rsidP="00EB262B">
      <w:pPr>
        <w:pStyle w:val="ListParagraph"/>
        <w:numPr>
          <w:ilvl w:val="0"/>
          <w:numId w:val="24"/>
        </w:numPr>
      </w:pPr>
      <w:r w:rsidRPr="00C444CE">
        <w:rPr>
          <w:b/>
        </w:rPr>
        <w:t>The right to redress and restitution</w:t>
      </w:r>
      <w:r w:rsidR="00943B7F">
        <w:rPr>
          <w:b/>
        </w:rPr>
        <w:t xml:space="preserve"> </w:t>
      </w:r>
      <w:r w:rsidR="00943B7F" w:rsidRPr="00943B7F">
        <w:t>requires that where</w:t>
      </w:r>
      <w:r w:rsidR="00E62FC8" w:rsidRPr="00C444CE">
        <w:t xml:space="preserve"> lands have been confiscated without </w:t>
      </w:r>
      <w:r w:rsidR="00E44666" w:rsidRPr="00C444CE">
        <w:t xml:space="preserve">the </w:t>
      </w:r>
      <w:r w:rsidR="00E62FC8" w:rsidRPr="00C444CE">
        <w:t>free, prior and informed consent</w:t>
      </w:r>
      <w:r w:rsidR="00E44666" w:rsidRPr="00C444CE">
        <w:t xml:space="preserve"> of Māori</w:t>
      </w:r>
      <w:r w:rsidR="00E62FC8" w:rsidRPr="00C444CE">
        <w:t xml:space="preserve"> there should be redress in the form of restitution (return) in the first instance or when this is not possible</w:t>
      </w:r>
      <w:r w:rsidR="003B6B4A" w:rsidRPr="00C444CE">
        <w:t>,</w:t>
      </w:r>
      <w:r w:rsidR="00E62FC8" w:rsidRPr="00C444CE">
        <w:t xml:space="preserve"> just, fair and equitable compensation</w:t>
      </w:r>
      <w:r w:rsidR="00A2679E" w:rsidRPr="00C444CE">
        <w:t>.</w:t>
      </w:r>
    </w:p>
    <w:p w14:paraId="04A58BD6" w14:textId="407DA0FD" w:rsidR="00EB262B" w:rsidRPr="00C444CE" w:rsidRDefault="004A34E6" w:rsidP="00EB262B">
      <w:pPr>
        <w:pStyle w:val="ListParagraph"/>
        <w:numPr>
          <w:ilvl w:val="0"/>
          <w:numId w:val="24"/>
        </w:numPr>
      </w:pPr>
      <w:r w:rsidRPr="00C444CE">
        <w:rPr>
          <w:b/>
        </w:rPr>
        <w:t>Decision-making processes must be</w:t>
      </w:r>
      <w:r w:rsidR="00E62FC8" w:rsidRPr="00C444CE">
        <w:rPr>
          <w:b/>
        </w:rPr>
        <w:t xml:space="preserve"> fair, independent, impartial, open and </w:t>
      </w:r>
      <w:r w:rsidR="0024316C" w:rsidRPr="00C444CE">
        <w:rPr>
          <w:b/>
        </w:rPr>
        <w:t>transparent</w:t>
      </w:r>
      <w:r w:rsidR="005067C2" w:rsidRPr="00C444CE">
        <w:rPr>
          <w:b/>
        </w:rPr>
        <w:t xml:space="preserve"> </w:t>
      </w:r>
      <w:r w:rsidR="005067C2" w:rsidRPr="00C444CE">
        <w:t xml:space="preserve">in particular, the Government has an obligation to guarantee mana whenua with access to justice </w:t>
      </w:r>
      <w:r w:rsidR="00083799" w:rsidRPr="00C444CE">
        <w:t xml:space="preserve">including </w:t>
      </w:r>
      <w:r w:rsidR="006817B9" w:rsidRPr="00C444CE">
        <w:t xml:space="preserve">in respect of </w:t>
      </w:r>
      <w:r w:rsidR="005067C2" w:rsidRPr="00C444CE">
        <w:t>any claims they have regarding their dispossessed lands.</w:t>
      </w:r>
    </w:p>
    <w:p w14:paraId="331D0234" w14:textId="33DB1DF6" w:rsidR="00544148" w:rsidRPr="00C444CE" w:rsidRDefault="00682442" w:rsidP="00EB262B">
      <w:r w:rsidRPr="00C444CE">
        <w:lastRenderedPageBreak/>
        <w:t>Together</w:t>
      </w:r>
      <w:r w:rsidR="00BD613C" w:rsidRPr="00C444CE">
        <w:t>, these h</w:t>
      </w:r>
      <w:r w:rsidR="004672FB" w:rsidRPr="00C444CE">
        <w:t>uman rights standards recognise</w:t>
      </w:r>
      <w:r w:rsidR="00295995" w:rsidRPr="00C444CE">
        <w:t xml:space="preserve"> and affirm</w:t>
      </w:r>
      <w:r w:rsidR="004672FB" w:rsidRPr="00C444CE">
        <w:t xml:space="preserve"> the fundamental importance of land to the identity, culture and rights of indigenous peoples. </w:t>
      </w:r>
      <w:r w:rsidR="00BF2277" w:rsidRPr="00C444CE">
        <w:t xml:space="preserve">When translated into the context of Aotearoa New Zealand, they </w:t>
      </w:r>
      <w:r w:rsidR="00FE25E2" w:rsidRPr="00C444CE">
        <w:t xml:space="preserve">highlight the </w:t>
      </w:r>
      <w:r w:rsidR="007845D2" w:rsidRPr="00C444CE">
        <w:t xml:space="preserve">human rights commitments of </w:t>
      </w:r>
      <w:r w:rsidR="004672FB" w:rsidRPr="00C444CE">
        <w:t xml:space="preserve">the </w:t>
      </w:r>
      <w:r w:rsidR="00FA615E" w:rsidRPr="00C444CE">
        <w:t xml:space="preserve">New Zealand Government to both protect </w:t>
      </w:r>
      <w:r w:rsidR="00A84B4C" w:rsidRPr="00C444CE">
        <w:t>Māori rights to land and culture</w:t>
      </w:r>
      <w:r w:rsidR="007461BB" w:rsidRPr="00C444CE">
        <w:t xml:space="preserve"> and</w:t>
      </w:r>
      <w:r w:rsidR="007552EC" w:rsidRPr="00C444CE">
        <w:t xml:space="preserve"> </w:t>
      </w:r>
      <w:r w:rsidR="003A5CCB" w:rsidRPr="00C444CE">
        <w:t xml:space="preserve">to </w:t>
      </w:r>
      <w:r w:rsidR="007845D2" w:rsidRPr="00C444CE">
        <w:t>provide</w:t>
      </w:r>
      <w:r w:rsidR="003A5CCB" w:rsidRPr="00C444CE">
        <w:t xml:space="preserve"> a</w:t>
      </w:r>
      <w:r w:rsidR="007845D2" w:rsidRPr="00C444CE">
        <w:t xml:space="preserve"> </w:t>
      </w:r>
      <w:r w:rsidR="002973D2" w:rsidRPr="00C444CE">
        <w:t xml:space="preserve">fully rights-consistent and participatory </w:t>
      </w:r>
      <w:r w:rsidR="003A5CCB" w:rsidRPr="00C444CE">
        <w:t>decision-making framework</w:t>
      </w:r>
      <w:r w:rsidR="00981507" w:rsidRPr="00C444CE">
        <w:t>.</w:t>
      </w:r>
    </w:p>
    <w:p w14:paraId="74E8EBD8" w14:textId="74C0439A" w:rsidR="00754E77" w:rsidRPr="007E2996" w:rsidRDefault="00754E77" w:rsidP="00754E77">
      <w:r w:rsidRPr="007E2996">
        <w:t>Central to the right to participation is the right of indigenous people</w:t>
      </w:r>
      <w:r w:rsidR="006C0C31">
        <w:t>s</w:t>
      </w:r>
      <w:r w:rsidRPr="007E2996">
        <w:t xml:space="preserve"> to free, prior and informed consent – one of the most important procedural principles in the Declaration.</w:t>
      </w:r>
      <w:r w:rsidR="00C824F0" w:rsidRPr="007E2996">
        <w:t xml:space="preserve"> </w:t>
      </w:r>
      <w:r w:rsidRPr="007E2996">
        <w:t xml:space="preserve">Disagreements within indigenous communities about whether free, prior and informed consent has been achieved, should be resolved by the indigenous peoples, using their own laws, traditions, customs, and representative institutions.  </w:t>
      </w:r>
    </w:p>
    <w:p w14:paraId="26ACA9F7" w14:textId="51EC16C3" w:rsidR="00754E77" w:rsidRPr="007E2996" w:rsidRDefault="00754E77" w:rsidP="00754E77">
      <w:r w:rsidRPr="007E2996">
        <w:t>The Government, for its part, should ensure that consultation processes support consensus building, are non-coercive and do not cause division.</w:t>
      </w:r>
    </w:p>
    <w:p w14:paraId="501AA4D2" w14:textId="77777777" w:rsidR="00A702B6" w:rsidRDefault="00754E77" w:rsidP="00A702B6">
      <w:r w:rsidRPr="007E2996">
        <w:t>The human rights principles set out in the Declaration also reinforce traditional Te Ao Māori values and concepts that apply to the land, its guardianship and its cultural and spiritual significance for mana whenua.</w:t>
      </w:r>
      <w:r w:rsidR="00A702B6">
        <w:t xml:space="preserve"> </w:t>
      </w:r>
    </w:p>
    <w:p w14:paraId="5FB3F814" w14:textId="34E55CB8" w:rsidR="00A702B6" w:rsidRPr="00C444CE" w:rsidRDefault="00A702B6" w:rsidP="00A702B6">
      <w:r w:rsidRPr="00C444CE">
        <w:t>In summary, the Declaration provides a</w:t>
      </w:r>
      <w:r w:rsidR="003428ED">
        <w:t xml:space="preserve"> </w:t>
      </w:r>
      <w:r w:rsidRPr="00C444CE">
        <w:t>helpful lens through which the situation at Ihumātao can be viewed, including:</w:t>
      </w:r>
    </w:p>
    <w:p w14:paraId="1640F96D" w14:textId="0DD3DA3D" w:rsidR="00A702B6" w:rsidRPr="00C444CE" w:rsidRDefault="00A702B6" w:rsidP="00A702B6">
      <w:pPr>
        <w:pStyle w:val="ListParagraph"/>
        <w:numPr>
          <w:ilvl w:val="0"/>
          <w:numId w:val="6"/>
        </w:numPr>
      </w:pPr>
      <w:r w:rsidRPr="00C444CE">
        <w:t xml:space="preserve">Whether there are adequate legal protections or avenues to ensure that land of considerable cultural and heritage value to mana whenua is </w:t>
      </w:r>
      <w:r w:rsidR="00CE4D5F">
        <w:t xml:space="preserve">adequately </w:t>
      </w:r>
      <w:r w:rsidRPr="00C444CE">
        <w:t>protected.</w:t>
      </w:r>
    </w:p>
    <w:p w14:paraId="55AD7C20" w14:textId="77EDB276" w:rsidR="00A702B6" w:rsidRPr="00C444CE" w:rsidRDefault="00A702B6" w:rsidP="00A702B6">
      <w:pPr>
        <w:pStyle w:val="ListParagraph"/>
        <w:numPr>
          <w:ilvl w:val="0"/>
          <w:numId w:val="6"/>
        </w:numPr>
      </w:pPr>
      <w:r w:rsidRPr="00C444CE">
        <w:t xml:space="preserve">The nature and extent of consultation regarding decisions to approve the housing development under the Special Housing Act and the </w:t>
      </w:r>
      <w:r w:rsidR="00654B65">
        <w:t xml:space="preserve">unavailability </w:t>
      </w:r>
      <w:r w:rsidR="00D20F09">
        <w:t xml:space="preserve">of a legal process </w:t>
      </w:r>
      <w:r w:rsidRPr="00C444CE">
        <w:t>to challenge the decision.</w:t>
      </w:r>
    </w:p>
    <w:p w14:paraId="7B7FB3EF" w14:textId="6437BD5E" w:rsidR="00A702B6" w:rsidRPr="00C444CE" w:rsidRDefault="00A702B6" w:rsidP="00A702B6">
      <w:pPr>
        <w:pStyle w:val="ListParagraph"/>
        <w:numPr>
          <w:ilvl w:val="0"/>
          <w:numId w:val="6"/>
        </w:numPr>
      </w:pPr>
      <w:r w:rsidRPr="00C444CE">
        <w:t>The nature and extent of consultation regarding decisions to develop the land, particularly negotiations with Fletcher</w:t>
      </w:r>
      <w:r w:rsidR="00D20F09">
        <w:t xml:space="preserve"> Building</w:t>
      </w:r>
      <w:r w:rsidRPr="00C444CE">
        <w:t>.</w:t>
      </w:r>
    </w:p>
    <w:p w14:paraId="6D26CFA2" w14:textId="77777777" w:rsidR="00A702B6" w:rsidRPr="00C444CE" w:rsidRDefault="00A702B6" w:rsidP="00A702B6">
      <w:pPr>
        <w:pStyle w:val="ListParagraph"/>
        <w:numPr>
          <w:ilvl w:val="0"/>
          <w:numId w:val="6"/>
        </w:numPr>
      </w:pPr>
      <w:r w:rsidRPr="00C444CE">
        <w:t xml:space="preserve">The nature and extent of discussions about resolving the current situation and finding an appropriate way forward. </w:t>
      </w:r>
    </w:p>
    <w:p w14:paraId="04F864C7" w14:textId="77777777" w:rsidR="00A702B6" w:rsidRPr="00C444CE" w:rsidRDefault="00A702B6" w:rsidP="00A702B6">
      <w:pPr>
        <w:pStyle w:val="ListParagraph"/>
        <w:numPr>
          <w:ilvl w:val="0"/>
          <w:numId w:val="6"/>
        </w:numPr>
      </w:pPr>
      <w:r w:rsidRPr="00C444CE">
        <w:t>Whether previous processes have enabled all mana whenua affected by the housing development to properly participate.</w:t>
      </w:r>
    </w:p>
    <w:p w14:paraId="483EE190" w14:textId="10BE4B5A" w:rsidR="00A702B6" w:rsidRDefault="0030283F" w:rsidP="00A702B6">
      <w:pPr>
        <w:pStyle w:val="ListParagraph"/>
        <w:numPr>
          <w:ilvl w:val="0"/>
          <w:numId w:val="6"/>
        </w:numPr>
      </w:pPr>
      <w:r>
        <w:lastRenderedPageBreak/>
        <w:t>T</w:t>
      </w:r>
      <w:r w:rsidR="00A702B6" w:rsidRPr="00C444CE">
        <w:t>he extent to which mana whenua have been able to have</w:t>
      </w:r>
      <w:r w:rsidR="00371747">
        <w:t xml:space="preserve"> a</w:t>
      </w:r>
      <w:r w:rsidR="00A702B6" w:rsidRPr="00C444CE">
        <w:t xml:space="preserve"> meaningful say on </w:t>
      </w:r>
      <w:r w:rsidR="00F255DA">
        <w:t xml:space="preserve">the </w:t>
      </w:r>
      <w:r w:rsidR="00A702B6" w:rsidRPr="00C444CE">
        <w:t xml:space="preserve">outcome of decisions, including the ability to influence </w:t>
      </w:r>
      <w:r w:rsidR="00075C39">
        <w:t xml:space="preserve">the </w:t>
      </w:r>
      <w:r w:rsidR="00A702B6" w:rsidRPr="00C444CE">
        <w:t>outcomes and be decision makers.</w:t>
      </w:r>
    </w:p>
    <w:p w14:paraId="2F601ECA" w14:textId="77777777" w:rsidR="00A702B6" w:rsidRDefault="00A702B6" w:rsidP="00A702B6">
      <w:pPr>
        <w:pStyle w:val="ListParagraph"/>
        <w:numPr>
          <w:ilvl w:val="0"/>
          <w:numId w:val="6"/>
        </w:numPr>
      </w:pPr>
      <w:r w:rsidRPr="00C444CE">
        <w:t>Whether the current processes have been designed to support consensus.</w:t>
      </w:r>
    </w:p>
    <w:p w14:paraId="36CB5DB5" w14:textId="60516CCB" w:rsidR="00DB2F0D" w:rsidRPr="00C444CE" w:rsidRDefault="00541FCE" w:rsidP="00EB262B">
      <w:r w:rsidRPr="00541FCE">
        <w:t>This report concludes that a human rights approach, based on Te Tiriti and the Declaration, provides a compelling and constructive way forward for all parties</w:t>
      </w:r>
      <w:r w:rsidR="00190DAD" w:rsidRPr="00C444CE">
        <w:t>.</w:t>
      </w:r>
      <w:r w:rsidR="0071018D" w:rsidRPr="00C444CE">
        <w:t xml:space="preserve"> </w:t>
      </w:r>
      <w:r w:rsidR="00B13C2B" w:rsidRPr="00C444CE">
        <w:t xml:space="preserve">This approach </w:t>
      </w:r>
      <w:r w:rsidR="00181E7E" w:rsidRPr="00C444CE">
        <w:t xml:space="preserve">should include </w:t>
      </w:r>
      <w:r w:rsidR="0089287D" w:rsidRPr="00C444CE">
        <w:t>the following elements</w:t>
      </w:r>
      <w:r w:rsidR="00181E7E" w:rsidRPr="00C444CE">
        <w:t>:</w:t>
      </w:r>
    </w:p>
    <w:p w14:paraId="0AE1C9AD" w14:textId="27098612" w:rsidR="004378CF" w:rsidRPr="00C444CE" w:rsidRDefault="00026795" w:rsidP="00EB262B">
      <w:pPr>
        <w:pStyle w:val="ListParagraph"/>
        <w:numPr>
          <w:ilvl w:val="0"/>
          <w:numId w:val="23"/>
        </w:numPr>
        <w:rPr>
          <w:rStyle w:val="normaltextrun"/>
          <w:rFonts w:cstheme="minorHAnsi"/>
        </w:rPr>
      </w:pPr>
      <w:r w:rsidRPr="00C444CE">
        <w:rPr>
          <w:rStyle w:val="normaltextrun"/>
          <w:rFonts w:cstheme="minorHAnsi"/>
        </w:rPr>
        <w:t>Protect</w:t>
      </w:r>
      <w:r w:rsidR="00A87EE6" w:rsidRPr="00C444CE">
        <w:rPr>
          <w:rStyle w:val="normaltextrun"/>
          <w:rFonts w:cstheme="minorHAnsi"/>
        </w:rPr>
        <w:t>ion of</w:t>
      </w:r>
      <w:r w:rsidRPr="00C444CE">
        <w:rPr>
          <w:rStyle w:val="normaltextrun"/>
          <w:rFonts w:cstheme="minorHAnsi"/>
        </w:rPr>
        <w:t xml:space="preserve"> mana whenua rights and </w:t>
      </w:r>
      <w:r w:rsidR="00A87EE6" w:rsidRPr="00C444CE">
        <w:rPr>
          <w:rStyle w:val="normaltextrun"/>
          <w:rFonts w:cstheme="minorHAnsi"/>
        </w:rPr>
        <w:t xml:space="preserve">a </w:t>
      </w:r>
      <w:r w:rsidR="003D16E6">
        <w:rPr>
          <w:rStyle w:val="normaltextrun"/>
          <w:rFonts w:cstheme="minorHAnsi"/>
        </w:rPr>
        <w:t>continuation of the current</w:t>
      </w:r>
      <w:r w:rsidR="00A87EE6" w:rsidRPr="00C444CE">
        <w:rPr>
          <w:rStyle w:val="normaltextrun"/>
          <w:rFonts w:cstheme="minorHAnsi"/>
        </w:rPr>
        <w:t xml:space="preserve"> </w:t>
      </w:r>
      <w:r w:rsidRPr="00C444CE">
        <w:rPr>
          <w:rStyle w:val="normaltextrun"/>
          <w:rFonts w:cstheme="minorHAnsi"/>
        </w:rPr>
        <w:t xml:space="preserve">halt </w:t>
      </w:r>
      <w:r w:rsidR="00A87EE6" w:rsidRPr="00C444CE">
        <w:rPr>
          <w:rStyle w:val="normaltextrun"/>
          <w:rFonts w:cstheme="minorHAnsi"/>
        </w:rPr>
        <w:t xml:space="preserve">on </w:t>
      </w:r>
      <w:r w:rsidRPr="00C444CE">
        <w:rPr>
          <w:rStyle w:val="normaltextrun"/>
          <w:rFonts w:cstheme="minorHAnsi"/>
        </w:rPr>
        <w:t xml:space="preserve">development of the land while </w:t>
      </w:r>
      <w:r w:rsidR="00C50E32" w:rsidRPr="00C444CE">
        <w:rPr>
          <w:rStyle w:val="normaltextrun"/>
          <w:rFonts w:cstheme="minorHAnsi"/>
        </w:rPr>
        <w:t xml:space="preserve">work </w:t>
      </w:r>
      <w:r w:rsidR="009706CE" w:rsidRPr="00C444CE">
        <w:rPr>
          <w:rStyle w:val="normaltextrun"/>
          <w:rFonts w:cstheme="minorHAnsi"/>
        </w:rPr>
        <w:t>towards a resolution is carried out</w:t>
      </w:r>
      <w:r w:rsidR="0083517E">
        <w:rPr>
          <w:rStyle w:val="normaltextrun"/>
          <w:rFonts w:cstheme="minorHAnsi"/>
        </w:rPr>
        <w:t>.</w:t>
      </w:r>
    </w:p>
    <w:p w14:paraId="339E6D35" w14:textId="33691CC8" w:rsidR="00470274" w:rsidRPr="00C444CE" w:rsidRDefault="00470274" w:rsidP="00EB262B">
      <w:pPr>
        <w:pStyle w:val="ListParagraph"/>
        <w:numPr>
          <w:ilvl w:val="0"/>
          <w:numId w:val="23"/>
        </w:numPr>
        <w:rPr>
          <w:rStyle w:val="normaltextrun"/>
          <w:rFonts w:cstheme="minorHAnsi"/>
        </w:rPr>
      </w:pPr>
      <w:r w:rsidRPr="00C444CE">
        <w:rPr>
          <w:rStyle w:val="normaltextrun"/>
          <w:rFonts w:cstheme="minorHAnsi"/>
        </w:rPr>
        <w:t>Strengthen</w:t>
      </w:r>
      <w:r w:rsidR="00A87EE6" w:rsidRPr="00C444CE">
        <w:rPr>
          <w:rStyle w:val="normaltextrun"/>
          <w:rFonts w:cstheme="minorHAnsi"/>
        </w:rPr>
        <w:t>ed</w:t>
      </w:r>
      <w:r w:rsidRPr="00C444CE">
        <w:rPr>
          <w:rStyle w:val="normaltextrun"/>
          <w:rFonts w:cstheme="minorHAnsi"/>
        </w:rPr>
        <w:t xml:space="preserve"> mana whenua participation in all decision-making processes to enable true free, prior and informed consent</w:t>
      </w:r>
      <w:r w:rsidR="0083517E">
        <w:rPr>
          <w:rStyle w:val="normaltextrun"/>
          <w:rFonts w:cstheme="minorHAnsi"/>
        </w:rPr>
        <w:t>.</w:t>
      </w:r>
    </w:p>
    <w:p w14:paraId="45FC4ED4" w14:textId="6281FFFE" w:rsidR="00DE6BB3" w:rsidRPr="00C444CE" w:rsidRDefault="00470274" w:rsidP="00EB262B">
      <w:pPr>
        <w:pStyle w:val="ListParagraph"/>
        <w:numPr>
          <w:ilvl w:val="0"/>
          <w:numId w:val="23"/>
        </w:numPr>
        <w:rPr>
          <w:rStyle w:val="normaltextrun"/>
          <w:rFonts w:cstheme="minorHAnsi"/>
        </w:rPr>
      </w:pPr>
      <w:r w:rsidRPr="00C444CE">
        <w:rPr>
          <w:rStyle w:val="normaltextrun"/>
          <w:rFonts w:cstheme="minorHAnsi"/>
        </w:rPr>
        <w:t>Provi</w:t>
      </w:r>
      <w:r w:rsidR="008C4546" w:rsidRPr="00C444CE">
        <w:rPr>
          <w:rStyle w:val="normaltextrun"/>
          <w:rFonts w:cstheme="minorHAnsi"/>
        </w:rPr>
        <w:t xml:space="preserve">sion </w:t>
      </w:r>
      <w:r w:rsidRPr="00C444CE">
        <w:rPr>
          <w:rStyle w:val="normaltextrun"/>
          <w:rFonts w:cstheme="minorHAnsi"/>
        </w:rPr>
        <w:t xml:space="preserve">for redress in </w:t>
      </w:r>
      <w:r w:rsidR="00180820" w:rsidRPr="00C444CE">
        <w:rPr>
          <w:rStyle w:val="normaltextrun"/>
          <w:rFonts w:cstheme="minorHAnsi"/>
        </w:rPr>
        <w:t xml:space="preserve">a manner consistent with </w:t>
      </w:r>
      <w:r w:rsidRPr="00C444CE">
        <w:rPr>
          <w:rStyle w:val="normaltextrun"/>
          <w:rFonts w:cstheme="minorHAnsi"/>
        </w:rPr>
        <w:t xml:space="preserve">human rights </w:t>
      </w:r>
      <w:r w:rsidR="004C6E31" w:rsidRPr="00C444CE">
        <w:rPr>
          <w:rStyle w:val="normaltextrun"/>
          <w:rFonts w:cstheme="minorHAnsi"/>
        </w:rPr>
        <w:t>standards</w:t>
      </w:r>
      <w:r w:rsidR="0083517E">
        <w:rPr>
          <w:rStyle w:val="normaltextrun"/>
          <w:rFonts w:cstheme="minorHAnsi"/>
        </w:rPr>
        <w:t>.</w:t>
      </w:r>
    </w:p>
    <w:p w14:paraId="694068C4" w14:textId="30469D39" w:rsidR="003B6B4A" w:rsidRPr="00C444CE" w:rsidRDefault="003B6B4A" w:rsidP="00212CE1">
      <w:pPr>
        <w:pStyle w:val="ListParagraph"/>
        <w:numPr>
          <w:ilvl w:val="0"/>
          <w:numId w:val="23"/>
        </w:numPr>
        <w:rPr>
          <w:rStyle w:val="normaltextrun"/>
          <w:rFonts w:cstheme="minorHAnsi"/>
        </w:rPr>
      </w:pPr>
      <w:bookmarkStart w:id="1" w:name="_Hlk17377806"/>
      <w:r w:rsidRPr="00C444CE">
        <w:rPr>
          <w:rStyle w:val="normaltextrun"/>
          <w:rFonts w:cstheme="minorHAnsi"/>
        </w:rPr>
        <w:t xml:space="preserve">A Government commitment to full engagement with the United Nations Special Rapporteurs on the Right to </w:t>
      </w:r>
      <w:r w:rsidR="00BC351A" w:rsidRPr="00C444CE">
        <w:rPr>
          <w:rStyle w:val="normaltextrun"/>
          <w:rFonts w:cstheme="minorHAnsi"/>
        </w:rPr>
        <w:t>Adequate</w:t>
      </w:r>
      <w:r w:rsidR="003A159D" w:rsidRPr="00C444CE">
        <w:rPr>
          <w:rStyle w:val="normaltextrun"/>
          <w:rFonts w:cstheme="minorHAnsi"/>
        </w:rPr>
        <w:t xml:space="preserve"> </w:t>
      </w:r>
      <w:r w:rsidRPr="00C444CE">
        <w:rPr>
          <w:rStyle w:val="normaltextrun"/>
          <w:rFonts w:cstheme="minorHAnsi"/>
        </w:rPr>
        <w:t>Housing and the Rights of Indigenous Peoples</w:t>
      </w:r>
      <w:r w:rsidR="0083517E">
        <w:rPr>
          <w:rStyle w:val="normaltextrun"/>
          <w:rFonts w:cstheme="minorHAnsi"/>
        </w:rPr>
        <w:t>.</w:t>
      </w:r>
    </w:p>
    <w:bookmarkEnd w:id="1"/>
    <w:p w14:paraId="17C1E74D" w14:textId="3E8EF837" w:rsidR="0064729E" w:rsidRPr="00C444CE" w:rsidRDefault="00D75599" w:rsidP="00EB262B">
      <w:r w:rsidRPr="00C444CE">
        <w:t xml:space="preserve">Ihumātao can be a turning point for the protection of indigenous rights in </w:t>
      </w:r>
      <w:r w:rsidR="00B453B7" w:rsidRPr="00C444CE">
        <w:t xml:space="preserve">Aotearoa </w:t>
      </w:r>
      <w:r w:rsidRPr="00C444CE">
        <w:t>New Zealand and</w:t>
      </w:r>
      <w:r w:rsidR="008C4546" w:rsidRPr="00C444CE">
        <w:t xml:space="preserve"> there is</w:t>
      </w:r>
      <w:r w:rsidRPr="00C444CE">
        <w:t xml:space="preserve"> a real opportunity to move the nation forward in a constructive way</w:t>
      </w:r>
      <w:r w:rsidR="00A52DFF" w:rsidRPr="00C444CE">
        <w:rPr>
          <w:rFonts w:cstheme="minorHAnsi"/>
        </w:rPr>
        <w:t xml:space="preserve">. </w:t>
      </w:r>
      <w:r w:rsidR="003A7D7F" w:rsidRPr="00C444CE">
        <w:rPr>
          <w:rFonts w:cstheme="minorHAnsi"/>
        </w:rPr>
        <w:t>A resolution</w:t>
      </w:r>
      <w:r w:rsidR="003A7D7F" w:rsidRPr="00C444CE">
        <w:t xml:space="preserve"> at</w:t>
      </w:r>
      <w:r w:rsidR="0064729E" w:rsidRPr="00C444CE">
        <w:t xml:space="preserve"> Ihumātao </w:t>
      </w:r>
      <w:r w:rsidR="003A7D7F" w:rsidRPr="00C444CE">
        <w:t xml:space="preserve">that upholds the rights </w:t>
      </w:r>
      <w:r w:rsidR="00365763" w:rsidRPr="00C444CE">
        <w:t xml:space="preserve">of </w:t>
      </w:r>
      <w:r w:rsidR="008B3187" w:rsidRPr="00C444CE">
        <w:t>mana whenua pres</w:t>
      </w:r>
      <w:r w:rsidR="00022A10" w:rsidRPr="00C444CE">
        <w:t xml:space="preserve">ents </w:t>
      </w:r>
      <w:r w:rsidR="0064729E" w:rsidRPr="00C444CE">
        <w:t xml:space="preserve">an opportunity for reconciliation, for harmonious relations and nation building – </w:t>
      </w:r>
      <w:r w:rsidR="0064729E" w:rsidRPr="00C444CE">
        <w:rPr>
          <w:i/>
        </w:rPr>
        <w:t>hohou te rongo</w:t>
      </w:r>
      <w:r w:rsidR="0064729E" w:rsidRPr="00C444CE">
        <w:t xml:space="preserve"> establishing peace. </w:t>
      </w:r>
    </w:p>
    <w:p w14:paraId="33455CC8" w14:textId="30713EB1" w:rsidR="008909E3" w:rsidRPr="00C444CE" w:rsidRDefault="008909E3" w:rsidP="00EB262B"/>
    <w:p w14:paraId="2FFC835D" w14:textId="77777777" w:rsidR="00EB262B" w:rsidRPr="00C444CE" w:rsidRDefault="00EB262B">
      <w:pPr>
        <w:spacing w:line="259" w:lineRule="auto"/>
        <w:jc w:val="left"/>
        <w:rPr>
          <w:rFonts w:eastAsiaTheme="majorEastAsia"/>
          <w:b/>
          <w:bCs/>
          <w:color w:val="762123"/>
          <w:sz w:val="32"/>
          <w:szCs w:val="32"/>
        </w:rPr>
      </w:pPr>
      <w:r w:rsidRPr="00C444CE">
        <w:br w:type="page"/>
      </w:r>
    </w:p>
    <w:p w14:paraId="7EF17262" w14:textId="5DF23588" w:rsidR="00D43533" w:rsidRPr="00C444CE" w:rsidRDefault="00D43533" w:rsidP="00EB262B">
      <w:pPr>
        <w:pStyle w:val="Heading1"/>
      </w:pPr>
      <w:bookmarkStart w:id="2" w:name="_Toc17386668"/>
      <w:r w:rsidRPr="00C444CE">
        <w:lastRenderedPageBreak/>
        <w:t>Introduction</w:t>
      </w:r>
      <w:bookmarkEnd w:id="2"/>
    </w:p>
    <w:p w14:paraId="7A8F0B36" w14:textId="6309C618" w:rsidR="00453C71" w:rsidRPr="00C444CE" w:rsidRDefault="00067108" w:rsidP="00EB262B">
      <w:r w:rsidRPr="00C444CE">
        <w:t>The even</w:t>
      </w:r>
      <w:bookmarkStart w:id="3" w:name="_GoBack"/>
      <w:bookmarkEnd w:id="3"/>
      <w:r w:rsidRPr="00C444CE">
        <w:t xml:space="preserve">ts currently unfolding at Ihumātao raise </w:t>
      </w:r>
      <w:r w:rsidR="00EF4851" w:rsidRPr="00C444CE">
        <w:t xml:space="preserve">important </w:t>
      </w:r>
      <w:r w:rsidRPr="00C444CE">
        <w:t>human rights issues</w:t>
      </w:r>
      <w:r w:rsidR="008B2791" w:rsidRPr="00C444CE">
        <w:t xml:space="preserve">. </w:t>
      </w:r>
      <w:r w:rsidR="001D11EA" w:rsidRPr="00C444CE">
        <w:t>T</w:t>
      </w:r>
      <w:r w:rsidR="00453C71" w:rsidRPr="00C444CE">
        <w:t xml:space="preserve">he </w:t>
      </w:r>
      <w:r w:rsidR="004053EA">
        <w:t>land</w:t>
      </w:r>
      <w:r w:rsidR="00F64F38">
        <w:t>, which</w:t>
      </w:r>
      <w:r w:rsidR="004053EA">
        <w:t xml:space="preserve"> was confiscated </w:t>
      </w:r>
      <w:r w:rsidR="00453C71" w:rsidRPr="00C444CE">
        <w:t>by the New Zealand Government</w:t>
      </w:r>
      <w:r w:rsidR="004314CA" w:rsidRPr="00C444CE">
        <w:t xml:space="preserve"> in the 1</w:t>
      </w:r>
      <w:r w:rsidR="00DF2F8E">
        <w:t>860s</w:t>
      </w:r>
      <w:r w:rsidR="00453C71" w:rsidRPr="00C444CE">
        <w:t xml:space="preserve"> </w:t>
      </w:r>
      <w:r w:rsidR="001E6D9D">
        <w:t xml:space="preserve">and </w:t>
      </w:r>
      <w:r w:rsidR="004314CA" w:rsidRPr="00C444CE">
        <w:t>has been in private</w:t>
      </w:r>
      <w:r w:rsidR="0055687A" w:rsidRPr="00C444CE">
        <w:t xml:space="preserve"> </w:t>
      </w:r>
      <w:r w:rsidR="004314CA" w:rsidRPr="00C444CE">
        <w:t>ownership ever since,</w:t>
      </w:r>
      <w:r w:rsidR="00453C71" w:rsidRPr="00C444CE">
        <w:t xml:space="preserve"> is of </w:t>
      </w:r>
      <w:r w:rsidR="00695ECC" w:rsidRPr="00C444CE">
        <w:t xml:space="preserve">considerable </w:t>
      </w:r>
      <w:r w:rsidR="00453C71" w:rsidRPr="00C444CE">
        <w:t>cultural, spiritual and historical significance to Māori.</w:t>
      </w:r>
      <w:r w:rsidR="005F5553" w:rsidRPr="005F5553">
        <w:rPr>
          <w:vertAlign w:val="superscript"/>
        </w:rPr>
        <w:endnoteReference w:id="3"/>
      </w:r>
      <w:r w:rsidR="005F5553" w:rsidRPr="005F5553">
        <w:t xml:space="preserve"> </w:t>
      </w:r>
      <w:r w:rsidR="00453C71" w:rsidRPr="00C444CE">
        <w:t xml:space="preserve"> </w:t>
      </w:r>
    </w:p>
    <w:p w14:paraId="1215D76B" w14:textId="030DE685" w:rsidR="007E0C79" w:rsidRPr="00C444CE" w:rsidRDefault="004B1BE2" w:rsidP="00EB262B">
      <w:r>
        <w:t>T</w:t>
      </w:r>
      <w:r w:rsidR="00432B49" w:rsidRPr="00C444CE">
        <w:t>hese issues</w:t>
      </w:r>
      <w:r w:rsidR="00E85D2C" w:rsidRPr="00C444CE">
        <w:t xml:space="preserve"> </w:t>
      </w:r>
      <w:r w:rsidR="00F216C9" w:rsidRPr="00C444CE">
        <w:t>are directly relevant to</w:t>
      </w:r>
      <w:r w:rsidR="00432B49" w:rsidRPr="00C444CE">
        <w:t xml:space="preserve"> </w:t>
      </w:r>
      <w:r w:rsidR="00453C71" w:rsidRPr="00C444CE">
        <w:t>New Zealand’s human rights commitments to Māori under the United Nations Declaration on the Rights of Indigenous Peoples (“the Declaration”).</w:t>
      </w:r>
      <w:r w:rsidR="00E85D2C" w:rsidRPr="00C444CE">
        <w:t xml:space="preserve"> They also engage </w:t>
      </w:r>
      <w:r w:rsidR="002C2D61" w:rsidRPr="00C444CE">
        <w:t xml:space="preserve">broader human rights commitments </w:t>
      </w:r>
      <w:r w:rsidR="00A32E5C" w:rsidRPr="00C444CE">
        <w:t xml:space="preserve">under international human rights treaties that New Zealand has ratified (signed up to). </w:t>
      </w:r>
    </w:p>
    <w:p w14:paraId="1D102F14" w14:textId="7B0C3203" w:rsidR="00453C71" w:rsidRPr="00C444CE" w:rsidRDefault="00574903" w:rsidP="00EB262B">
      <w:r w:rsidRPr="00C444CE">
        <w:t>T</w:t>
      </w:r>
      <w:r w:rsidR="00453C71" w:rsidRPr="00C444CE">
        <w:t xml:space="preserve">he Human Rights Commission (“Commission”) has developed this report to provide a </w:t>
      </w:r>
      <w:r w:rsidR="00486E7D" w:rsidRPr="00C444CE">
        <w:t xml:space="preserve">human rights perspective on Ihumātao. </w:t>
      </w:r>
      <w:r w:rsidR="0072671E" w:rsidRPr="00C444CE" w:rsidDel="001C0A5E">
        <w:t xml:space="preserve">We consider that </w:t>
      </w:r>
      <w:r w:rsidR="00453C71" w:rsidRPr="00C444CE" w:rsidDel="001C0A5E">
        <w:t>New Zealand’s human rights commitments under the Declaration can provide, alongside Te Tiriti o Waitangi (“Te Tiriti”), a</w:t>
      </w:r>
      <w:r w:rsidR="00F8599F" w:rsidRPr="00C444CE" w:rsidDel="001C0A5E">
        <w:t xml:space="preserve"> </w:t>
      </w:r>
      <w:r w:rsidR="00194533">
        <w:t>compelling and constructive</w:t>
      </w:r>
      <w:r w:rsidR="00453C71" w:rsidRPr="00C444CE" w:rsidDel="001C0A5E">
        <w:t xml:space="preserve"> framework within which the</w:t>
      </w:r>
      <w:r w:rsidR="005B6C6E" w:rsidRPr="00C444CE" w:rsidDel="001C0A5E">
        <w:t xml:space="preserve"> dispute</w:t>
      </w:r>
      <w:r w:rsidR="00453C71" w:rsidRPr="00C444CE" w:rsidDel="001C0A5E">
        <w:t xml:space="preserve"> can be discussed, addressed and eventually resolved.</w:t>
      </w:r>
    </w:p>
    <w:p w14:paraId="6D496531" w14:textId="6BC6A0A6" w:rsidR="00E1136C" w:rsidRPr="00C444CE" w:rsidRDefault="00F8542D" w:rsidP="00E1136C">
      <w:r w:rsidRPr="00C444CE">
        <w:t xml:space="preserve">We </w:t>
      </w:r>
      <w:r w:rsidR="00E87CE8" w:rsidRPr="00C444CE">
        <w:t xml:space="preserve">issue this report </w:t>
      </w:r>
      <w:r w:rsidRPr="00C444CE">
        <w:t>under our statutory mandate</w:t>
      </w:r>
      <w:r w:rsidR="00BD17DC" w:rsidRPr="00C444CE">
        <w:t xml:space="preserve"> under the Human Rights Act 1993</w:t>
      </w:r>
      <w:r w:rsidRPr="00C444CE">
        <w:t xml:space="preserve"> as New Zealand’s </w:t>
      </w:r>
      <w:r w:rsidR="00172C1D">
        <w:t>n</w:t>
      </w:r>
      <w:r w:rsidRPr="00C444CE">
        <w:t xml:space="preserve">ational </w:t>
      </w:r>
      <w:r w:rsidR="00172C1D">
        <w:t>h</w:t>
      </w:r>
      <w:r w:rsidRPr="00C444CE">
        <w:t xml:space="preserve">uman </w:t>
      </w:r>
      <w:r w:rsidR="00172C1D">
        <w:t>r</w:t>
      </w:r>
      <w:r w:rsidRPr="00C444CE">
        <w:t xml:space="preserve">ights </w:t>
      </w:r>
      <w:r w:rsidR="00172C1D">
        <w:t>i</w:t>
      </w:r>
      <w:r w:rsidRPr="00C444CE">
        <w:t>nstitution and our statutory function to promote the human rights dimensions of Te Tiriti.</w:t>
      </w:r>
    </w:p>
    <w:p w14:paraId="689A03DE" w14:textId="0C6E92A0" w:rsidR="0010672D" w:rsidRPr="00C444CE" w:rsidRDefault="00E1136C" w:rsidP="00EB262B">
      <w:r w:rsidRPr="00C444CE">
        <w:t>The report does not endeavour to provide a complete and</w:t>
      </w:r>
      <w:r w:rsidR="00331B58" w:rsidRPr="00C444CE">
        <w:t xml:space="preserve"> </w:t>
      </w:r>
      <w:r w:rsidRPr="00C444CE">
        <w:t>comprehensive account of international human rights</w:t>
      </w:r>
      <w:r w:rsidR="00254345" w:rsidRPr="00C444CE">
        <w:t>,</w:t>
      </w:r>
      <w:r w:rsidRPr="00C444CE">
        <w:t xml:space="preserve"> </w:t>
      </w:r>
      <w:r w:rsidR="003751A9" w:rsidRPr="00C444CE">
        <w:t xml:space="preserve">including </w:t>
      </w:r>
      <w:r w:rsidRPr="00C444CE">
        <w:t xml:space="preserve">the Declaration on the Rights of Indigenous Peoples, in relation to Ihumātao. </w:t>
      </w:r>
      <w:r w:rsidR="001C0A5E" w:rsidRPr="00C444CE">
        <w:t xml:space="preserve">Nor does it seek </w:t>
      </w:r>
      <w:r w:rsidR="00A23101" w:rsidRPr="00C444CE">
        <w:t xml:space="preserve">to make </w:t>
      </w:r>
      <w:r w:rsidR="004C32EC" w:rsidRPr="00C444CE">
        <w:t xml:space="preserve">findings </w:t>
      </w:r>
      <w:r w:rsidR="00762C61" w:rsidRPr="00C444CE">
        <w:t xml:space="preserve">or decisions </w:t>
      </w:r>
      <w:r w:rsidR="004C32EC" w:rsidRPr="00C444CE">
        <w:t>about whether</w:t>
      </w:r>
      <w:r w:rsidR="00122E8D" w:rsidRPr="00C444CE">
        <w:t xml:space="preserve"> international </w:t>
      </w:r>
      <w:r w:rsidR="000B34E2" w:rsidRPr="00C444CE">
        <w:t xml:space="preserve">human rights instruments are being adhered to. Given the </w:t>
      </w:r>
      <w:r w:rsidR="009C3DB0" w:rsidRPr="00C444CE">
        <w:t>complex</w:t>
      </w:r>
      <w:r w:rsidR="00544C6D" w:rsidRPr="00C444CE">
        <w:t xml:space="preserve"> factual background</w:t>
      </w:r>
      <w:r w:rsidR="009C3DB0" w:rsidRPr="00C444CE">
        <w:t xml:space="preserve"> and the current fluidity of </w:t>
      </w:r>
      <w:r w:rsidR="0010672D" w:rsidRPr="00C444CE">
        <w:t xml:space="preserve">the </w:t>
      </w:r>
      <w:r w:rsidR="00500F98" w:rsidRPr="00C444CE">
        <w:t xml:space="preserve">situation on the ground, it would not be appropriate for us </w:t>
      </w:r>
      <w:r w:rsidR="00500570" w:rsidRPr="00C444CE">
        <w:t>to</w:t>
      </w:r>
      <w:r w:rsidR="005638D1" w:rsidRPr="00C444CE">
        <w:t xml:space="preserve"> do so</w:t>
      </w:r>
      <w:r w:rsidR="00331B58" w:rsidRPr="00C444CE">
        <w:t xml:space="preserve">. </w:t>
      </w:r>
      <w:r w:rsidR="0003116E" w:rsidRPr="00C444CE">
        <w:t>Instead i</w:t>
      </w:r>
      <w:r w:rsidR="00544C6D" w:rsidRPr="00C444CE">
        <w:t xml:space="preserve">t is </w:t>
      </w:r>
      <w:r w:rsidR="00BA1074" w:rsidRPr="00C444CE">
        <w:t>intended to</w:t>
      </w:r>
      <w:r w:rsidR="0003116E" w:rsidRPr="00C444CE">
        <w:t xml:space="preserve"> </w:t>
      </w:r>
      <w:r w:rsidR="001C0A5E" w:rsidRPr="00C444CE">
        <w:t>provide a distinctive, constructive contribution to public discussion about Ihumātao.</w:t>
      </w:r>
      <w:r w:rsidR="00513952" w:rsidRPr="00513952">
        <w:t xml:space="preserve"> </w:t>
      </w:r>
    </w:p>
    <w:p w14:paraId="44EEE8F4" w14:textId="38768BFA" w:rsidR="00EB262B" w:rsidRPr="00C444CE" w:rsidRDefault="00EB262B">
      <w:pPr>
        <w:spacing w:line="259" w:lineRule="auto"/>
        <w:jc w:val="left"/>
        <w:rPr>
          <w:rFonts w:eastAsiaTheme="majorEastAsia"/>
          <w:b/>
          <w:bCs/>
          <w:color w:val="762123"/>
          <w:sz w:val="32"/>
          <w:szCs w:val="32"/>
        </w:rPr>
      </w:pPr>
      <w:r w:rsidRPr="00C444CE">
        <w:br w:type="page"/>
      </w:r>
    </w:p>
    <w:p w14:paraId="22E2E4F8" w14:textId="373B6284" w:rsidR="00A23402" w:rsidRPr="00C444CE" w:rsidRDefault="00A23402" w:rsidP="00EB262B">
      <w:pPr>
        <w:pStyle w:val="Heading1"/>
      </w:pPr>
      <w:bookmarkStart w:id="4" w:name="_Toc17386669"/>
      <w:r w:rsidRPr="00C444CE">
        <w:lastRenderedPageBreak/>
        <w:t>Background</w:t>
      </w:r>
      <w:bookmarkEnd w:id="4"/>
      <w:r w:rsidRPr="00C444CE">
        <w:t xml:space="preserve"> </w:t>
      </w:r>
    </w:p>
    <w:p w14:paraId="046CC24D" w14:textId="2496FCDF" w:rsidR="00DB1DB6" w:rsidRPr="00C444CE" w:rsidRDefault="00A23402" w:rsidP="00EB262B">
      <w:r w:rsidRPr="00C444CE">
        <w:t xml:space="preserve">The </w:t>
      </w:r>
      <w:r w:rsidR="00AA71B3" w:rsidRPr="00C444CE">
        <w:t xml:space="preserve">factual background </w:t>
      </w:r>
      <w:r w:rsidR="00DD22D4" w:rsidRPr="00C444CE">
        <w:t xml:space="preserve">concerning </w:t>
      </w:r>
      <w:r w:rsidRPr="00C444CE">
        <w:rPr>
          <w:rFonts w:cstheme="minorHAnsi"/>
        </w:rPr>
        <w:t>Ihumātao</w:t>
      </w:r>
      <w:r w:rsidRPr="00C444CE">
        <w:t xml:space="preserve"> is complex</w:t>
      </w:r>
      <w:r w:rsidR="002926E8" w:rsidRPr="00C444CE">
        <w:t xml:space="preserve"> and </w:t>
      </w:r>
      <w:r w:rsidR="00294DA5" w:rsidRPr="00C444CE">
        <w:t xml:space="preserve">has been </w:t>
      </w:r>
      <w:r w:rsidR="00225B41" w:rsidRPr="00C444CE">
        <w:t xml:space="preserve">well </w:t>
      </w:r>
      <w:r w:rsidR="00294DA5" w:rsidRPr="00C444CE">
        <w:t>documented</w:t>
      </w:r>
      <w:r w:rsidR="002926E8" w:rsidRPr="00C444CE">
        <w:t xml:space="preserve">. </w:t>
      </w:r>
      <w:r w:rsidR="00F40EDC">
        <w:t>This report does</w:t>
      </w:r>
      <w:r w:rsidR="00294DA5" w:rsidRPr="00C444CE">
        <w:t xml:space="preserve"> not attempt to </w:t>
      </w:r>
      <w:r w:rsidR="00225B41" w:rsidRPr="00C444CE">
        <w:t>provide a detailed account</w:t>
      </w:r>
      <w:r w:rsidR="00F2654B" w:rsidRPr="00C444CE">
        <w:t xml:space="preserve"> of the</w:t>
      </w:r>
      <w:r w:rsidR="00D00A81" w:rsidRPr="00C444CE">
        <w:t xml:space="preserve"> events to date</w:t>
      </w:r>
      <w:r w:rsidR="00764287" w:rsidRPr="00C444CE">
        <w:t xml:space="preserve">. Instead, </w:t>
      </w:r>
      <w:r w:rsidR="003F7CB1">
        <w:t>it</w:t>
      </w:r>
      <w:r w:rsidR="00764287" w:rsidRPr="00C444CE">
        <w:t xml:space="preserve"> set out </w:t>
      </w:r>
      <w:r w:rsidR="00952B30" w:rsidRPr="00C444CE">
        <w:t xml:space="preserve">below a brief </w:t>
      </w:r>
      <w:r w:rsidR="00AC36C6" w:rsidRPr="00C444CE">
        <w:t>summary of</w:t>
      </w:r>
      <w:r w:rsidRPr="00C444CE">
        <w:t xml:space="preserve"> </w:t>
      </w:r>
      <w:r w:rsidR="00DD143D" w:rsidRPr="00C444CE">
        <w:t xml:space="preserve">the </w:t>
      </w:r>
      <w:r w:rsidR="006D432D" w:rsidRPr="00C444CE">
        <w:t>facts</w:t>
      </w:r>
      <w:r w:rsidRPr="00C444CE">
        <w:t xml:space="preserve"> </w:t>
      </w:r>
      <w:r w:rsidR="00DD143D" w:rsidRPr="00C444CE">
        <w:t xml:space="preserve">most </w:t>
      </w:r>
      <w:r w:rsidR="00952B30" w:rsidRPr="00C444CE">
        <w:t xml:space="preserve">relevant to the human rights issues </w:t>
      </w:r>
      <w:r w:rsidR="00FB5AD3">
        <w:t xml:space="preserve">addressed </w:t>
      </w:r>
      <w:r w:rsidR="00DD143D" w:rsidRPr="00C444CE">
        <w:t>later in the report.</w:t>
      </w:r>
    </w:p>
    <w:p w14:paraId="02E38816" w14:textId="0874B002" w:rsidR="00243CA6" w:rsidRPr="00C444CE" w:rsidRDefault="00A23402" w:rsidP="00EB262B">
      <w:r w:rsidRPr="00C444CE">
        <w:t>The</w:t>
      </w:r>
      <w:r w:rsidR="00834DBF" w:rsidRPr="00C444CE">
        <w:t xml:space="preserve"> current</w:t>
      </w:r>
      <w:r w:rsidRPr="00C444CE">
        <w:t xml:space="preserve"> issue in dispute</w:t>
      </w:r>
      <w:r w:rsidR="00834DBF" w:rsidRPr="00C444CE">
        <w:t xml:space="preserve"> at Ihumātao</w:t>
      </w:r>
      <w:r w:rsidRPr="00C444CE">
        <w:t xml:space="preserve"> relates to the proposed construction of 480 houses by Fletcher </w:t>
      </w:r>
      <w:r w:rsidR="004C0A8C" w:rsidRPr="00C444CE">
        <w:t xml:space="preserve">Building </w:t>
      </w:r>
      <w:r w:rsidRPr="00C444CE">
        <w:t xml:space="preserve">on Puketāpapa, a land plot of 32 hectares at the end of </w:t>
      </w:r>
      <w:r w:rsidRPr="00C444CE">
        <w:rPr>
          <w:rFonts w:cstheme="minorHAnsi"/>
        </w:rPr>
        <w:t>Ihumātao</w:t>
      </w:r>
      <w:r w:rsidRPr="00C444CE">
        <w:t xml:space="preserve"> Peninsula, south Auckland</w:t>
      </w:r>
      <w:r w:rsidR="00EB48D2" w:rsidRPr="00C444CE">
        <w:t>.</w:t>
      </w:r>
      <w:r w:rsidR="00D31331" w:rsidRPr="00C444CE">
        <w:rPr>
          <w:rStyle w:val="EndnoteReference"/>
        </w:rPr>
        <w:endnoteReference w:id="4"/>
      </w:r>
    </w:p>
    <w:p w14:paraId="7576CD84" w14:textId="42FC22C6" w:rsidR="00705712" w:rsidRPr="00C444CE" w:rsidRDefault="00A23402" w:rsidP="00EB262B">
      <w:r w:rsidRPr="00C444CE">
        <w:t xml:space="preserve">Puketāpapa has strong spiritual, cultural and archaeological meaning </w:t>
      </w:r>
      <w:r w:rsidR="00EB2692" w:rsidRPr="00C444CE">
        <w:t>for l</w:t>
      </w:r>
      <w:r w:rsidR="001A30AA" w:rsidRPr="00C444CE">
        <w:t>ocal iwi and hap</w:t>
      </w:r>
      <w:r w:rsidR="007A036A" w:rsidRPr="00C444CE">
        <w:t>ū</w:t>
      </w:r>
      <w:r w:rsidR="001A30AA" w:rsidRPr="00C444CE">
        <w:t xml:space="preserve"> (mana whenua)</w:t>
      </w:r>
      <w:r w:rsidRPr="00C444CE">
        <w:t>. It was the site of the oldest known human settlement in Auckland and has been said to contain urup</w:t>
      </w:r>
      <w:r w:rsidR="00EB07C8" w:rsidRPr="00C444CE">
        <w:t>ā</w:t>
      </w:r>
      <w:r w:rsidRPr="00C444CE">
        <w:t xml:space="preserve"> (burial sites) and other evidence of early human occupation</w:t>
      </w:r>
      <w:r w:rsidR="00EB48D2" w:rsidRPr="00C444CE">
        <w:t>.</w:t>
      </w:r>
      <w:r w:rsidR="00705712" w:rsidRPr="00C444CE">
        <w:rPr>
          <w:rStyle w:val="EndnoteReference"/>
        </w:rPr>
        <w:endnoteReference w:id="5"/>
      </w:r>
      <w:r w:rsidR="00705712" w:rsidRPr="00C444CE">
        <w:t xml:space="preserve"> </w:t>
      </w:r>
    </w:p>
    <w:p w14:paraId="69B72F78" w14:textId="24E735EB" w:rsidR="00705712" w:rsidRPr="00C444CE" w:rsidRDefault="00705712" w:rsidP="00EB262B">
      <w:r w:rsidRPr="00C444CE">
        <w:t>The land at Puketāpapa was traditionally occupied by mana whenua</w:t>
      </w:r>
      <w:r w:rsidR="00D74565" w:rsidRPr="00C444CE">
        <w:t xml:space="preserve"> </w:t>
      </w:r>
      <w:r w:rsidR="00944208" w:rsidRPr="00C444CE">
        <w:t xml:space="preserve">until </w:t>
      </w:r>
      <w:r w:rsidR="00D74565" w:rsidRPr="00C444CE">
        <w:t>it was confiscated by the Crown in 1863</w:t>
      </w:r>
      <w:r w:rsidRPr="00C444CE">
        <w:t>.</w:t>
      </w:r>
      <w:r w:rsidRPr="00C444CE">
        <w:rPr>
          <w:rStyle w:val="EndnoteReference"/>
        </w:rPr>
        <w:endnoteReference w:id="6"/>
      </w:r>
      <w:r w:rsidR="00680462" w:rsidRPr="00C444CE">
        <w:t xml:space="preserve"> </w:t>
      </w:r>
      <w:r w:rsidRPr="00C444CE">
        <w:t>The Waitangi Tribunal in its Manukau Report of 1985 stated:</w:t>
      </w:r>
      <w:r w:rsidRPr="00C444CE">
        <w:rPr>
          <w:rStyle w:val="EndnoteReference"/>
          <w:rFonts w:cstheme="minorHAnsi"/>
        </w:rPr>
        <w:endnoteReference w:id="7"/>
      </w:r>
    </w:p>
    <w:p w14:paraId="33A50BCD" w14:textId="77777777" w:rsidR="00705712" w:rsidRPr="00C444CE" w:rsidRDefault="00705712" w:rsidP="00EB262B">
      <w:pPr>
        <w:pStyle w:val="Quote"/>
      </w:pPr>
      <w:r w:rsidRPr="00C444CE">
        <w:t xml:space="preserve">… the inhabitants [were] attacked, their homes and property destroyed and their cattle and horses stolen, but then they were punished by confiscation of their lands, for a rebellion that never took place. </w:t>
      </w:r>
    </w:p>
    <w:p w14:paraId="5DC27EF4" w14:textId="0672DE9D" w:rsidR="00705712" w:rsidRPr="00C444CE" w:rsidRDefault="00D02682" w:rsidP="00EB262B">
      <w:r w:rsidRPr="00C444CE">
        <w:t>In 1866, t</w:t>
      </w:r>
      <w:r w:rsidR="00705712" w:rsidRPr="00C444CE">
        <w:t xml:space="preserve">he Crown subsequently sold Puketāpapa </w:t>
      </w:r>
      <w:r w:rsidRPr="00C444CE">
        <w:t>into private ownership</w:t>
      </w:r>
      <w:r w:rsidR="00705712" w:rsidRPr="00C444CE">
        <w:t>.</w:t>
      </w:r>
      <w:r w:rsidR="00705712" w:rsidRPr="00C444CE">
        <w:rPr>
          <w:rStyle w:val="EndnoteReference"/>
        </w:rPr>
        <w:endnoteReference w:id="8"/>
      </w:r>
      <w:r w:rsidR="00944208" w:rsidRPr="00C444CE">
        <w:t xml:space="preserve"> Mana whenua have maintained a presence</w:t>
      </w:r>
      <w:r w:rsidR="008C50F2" w:rsidRPr="00C444CE">
        <w:t>, including</w:t>
      </w:r>
      <w:r w:rsidR="00944208" w:rsidRPr="00C444CE">
        <w:t xml:space="preserve"> </w:t>
      </w:r>
      <w:r w:rsidR="00233488" w:rsidRPr="00C444CE">
        <w:t>at nearby Makaurau Marae and Ihumātao village.</w:t>
      </w:r>
    </w:p>
    <w:p w14:paraId="0BE0875D" w14:textId="4D330737" w:rsidR="0099695C" w:rsidRPr="00C444CE" w:rsidRDefault="0099695C" w:rsidP="0099695C">
      <w:r w:rsidRPr="00C444CE">
        <w:t xml:space="preserve">In 2007, the Auckland Council recognised the cultural and historical significance of Ihumātao to local Māori and designated it an </w:t>
      </w:r>
      <w:r w:rsidRPr="00A17DC2">
        <w:t>open space</w:t>
      </w:r>
      <w:r w:rsidRPr="00C444CE">
        <w:t xml:space="preserve"> and una</w:t>
      </w:r>
      <w:r w:rsidR="006048B4">
        <w:t>vailable</w:t>
      </w:r>
      <w:r w:rsidRPr="00C444CE">
        <w:t xml:space="preserve"> </w:t>
      </w:r>
      <w:r w:rsidR="006048B4">
        <w:t xml:space="preserve">for </w:t>
      </w:r>
      <w:r w:rsidRPr="00C444CE">
        <w:t>develop</w:t>
      </w:r>
      <w:r w:rsidR="006048B4">
        <w:t>ment</w:t>
      </w:r>
      <w:r w:rsidRPr="00C444CE">
        <w:t>.</w:t>
      </w:r>
      <w:r w:rsidRPr="00C444CE">
        <w:rPr>
          <w:rStyle w:val="EndnoteReference"/>
        </w:rPr>
        <w:endnoteReference w:id="9"/>
      </w:r>
      <w:r w:rsidRPr="00C444CE">
        <w:t xml:space="preserve"> The designation was challenged in the Environment Court by the private landowners.</w:t>
      </w:r>
      <w:r w:rsidRPr="00C444CE">
        <w:rPr>
          <w:rStyle w:val="EndnoteReference"/>
        </w:rPr>
        <w:endnoteReference w:id="10"/>
      </w:r>
      <w:r w:rsidRPr="00C444CE">
        <w:t xml:space="preserve"> At that time, the local Mārae Trust Board and Iwi Authority opposed any urban development on Ihumātao.</w:t>
      </w:r>
      <w:r w:rsidRPr="00C444CE">
        <w:rPr>
          <w:rStyle w:val="EndnoteReference"/>
        </w:rPr>
        <w:endnoteReference w:id="11"/>
      </w:r>
      <w:r w:rsidRPr="00C444CE">
        <w:t xml:space="preserve"> In 2012, the Environment Court found in favour of the landowners and determined the land could accommodate urban development as well as the cultural significance of the land to Māori.</w:t>
      </w:r>
      <w:r w:rsidRPr="00C444CE">
        <w:rPr>
          <w:rStyle w:val="EndnoteReference"/>
        </w:rPr>
        <w:endnoteReference w:id="12"/>
      </w:r>
    </w:p>
    <w:p w14:paraId="0A2D5D7A" w14:textId="0AEAEA07" w:rsidR="00705712" w:rsidRPr="00C444CE" w:rsidRDefault="00705712" w:rsidP="00EB262B">
      <w:r w:rsidRPr="00C444CE">
        <w:t xml:space="preserve">In 2014, the Auckland Council rezoned the land as a Special Housing Area to allow for intensified residential development. This decision was made under specific legislation that was designed to fast-track special housing developments. It </w:t>
      </w:r>
      <w:r w:rsidRPr="00C444CE">
        <w:lastRenderedPageBreak/>
        <w:t>therefore bypassed the usual processes that would be required under the Resource Management Act.  The land was later purchased by Fletcher</w:t>
      </w:r>
      <w:r w:rsidR="000F0A88">
        <w:t xml:space="preserve"> Building</w:t>
      </w:r>
      <w:r w:rsidRPr="00C444CE">
        <w:t xml:space="preserve"> in 2016, following approval by the Government’s Overseas Investment Office (OIO). A claim relating to the land was made in the Waitangi Tribunal in 2015. However, in 2017 a request to have the claim heard urgently was denied by the Tribunal as at that stage development was not imminent.</w:t>
      </w:r>
      <w:r w:rsidRPr="00C444CE">
        <w:rPr>
          <w:rStyle w:val="EndnoteReference"/>
        </w:rPr>
        <w:endnoteReference w:id="13"/>
      </w:r>
      <w:r w:rsidRPr="00C444CE">
        <w:t xml:space="preserve"> </w:t>
      </w:r>
    </w:p>
    <w:p w14:paraId="2329349C" w14:textId="0EEDA3D3" w:rsidR="00705712" w:rsidRPr="00C444CE" w:rsidRDefault="00705712" w:rsidP="00EB262B">
      <w:r w:rsidRPr="00C444CE">
        <w:rPr>
          <w:noProof/>
        </w:rPr>
        <mc:AlternateContent>
          <mc:Choice Requires="wpi">
            <w:drawing>
              <wp:anchor distT="0" distB="0" distL="114300" distR="114300" simplePos="0" relativeHeight="251658240" behindDoc="0" locked="0" layoutInCell="1" allowOverlap="1" wp14:anchorId="7EF9E8EB" wp14:editId="49E10200">
                <wp:simplePos x="0" y="0"/>
                <wp:positionH relativeFrom="column">
                  <wp:posOffset>1885485</wp:posOffset>
                </wp:positionH>
                <wp:positionV relativeFrom="paragraph">
                  <wp:posOffset>267260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cex="http://schemas.microsoft.com/office/word/2018/wordml/cex" xmlns:w16="http://schemas.microsoft.com/office/word/2018/wordml" xmlns:arto="http://schemas.microsoft.com/office/word/2006/arto">
            <w:pict>
              <v:shapetype w14:anchorId="575E64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47.75pt;margin-top:20.3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">
                <v:imagedata r:id="rId16" o:title=""/>
              </v:shape>
            </w:pict>
          </mc:Fallback>
        </mc:AlternateContent>
      </w:r>
      <w:r w:rsidRPr="00C444CE">
        <w:t>Upon purchasing the land, Fletcher</w:t>
      </w:r>
      <w:r w:rsidR="000F0A88">
        <w:t xml:space="preserve"> Building</w:t>
      </w:r>
      <w:r w:rsidRPr="00C444CE">
        <w:t xml:space="preserve"> engaged in consultations with representatives of local iwi and hapū, about their planned construction of 480 houses</w:t>
      </w:r>
      <w:r w:rsidR="004900CE" w:rsidRPr="00C444CE">
        <w:t>.</w:t>
      </w:r>
      <w:r w:rsidR="00F350E7" w:rsidRPr="00C444CE">
        <w:t xml:space="preserve"> </w:t>
      </w:r>
      <w:r w:rsidR="002A78A9" w:rsidRPr="00C444CE">
        <w:t xml:space="preserve">As a result of these </w:t>
      </w:r>
      <w:r w:rsidR="008A3062" w:rsidRPr="00C444CE">
        <w:t>consultations Fletcher</w:t>
      </w:r>
      <w:r w:rsidR="000F0A88">
        <w:t xml:space="preserve"> Building</w:t>
      </w:r>
      <w:r w:rsidR="008A3062" w:rsidRPr="00C444CE">
        <w:t xml:space="preserve"> agreed</w:t>
      </w:r>
      <w:r w:rsidR="00924826" w:rsidRPr="00C444CE">
        <w:t>, among other things</w:t>
      </w:r>
      <w:r w:rsidR="00F44124" w:rsidRPr="00C444CE">
        <w:t>,</w:t>
      </w:r>
      <w:r w:rsidR="00924826" w:rsidRPr="00C444CE">
        <w:t xml:space="preserve"> </w:t>
      </w:r>
      <w:r w:rsidR="008A3062" w:rsidRPr="00C444CE">
        <w:t>to</w:t>
      </w:r>
      <w:r w:rsidR="00072CCF" w:rsidRPr="00C444CE">
        <w:t xml:space="preserve"> relinquish 25% of the land closest to the </w:t>
      </w:r>
      <w:r w:rsidR="00A974D7" w:rsidRPr="00C444CE">
        <w:t xml:space="preserve">historic site and </w:t>
      </w:r>
      <w:r w:rsidR="00F44124" w:rsidRPr="00C444CE">
        <w:t>not to build on any archeologically significant site.</w:t>
      </w:r>
      <w:r w:rsidR="00321328" w:rsidRPr="00C444CE">
        <w:rPr>
          <w:rStyle w:val="EndnoteReference"/>
        </w:rPr>
        <w:endnoteReference w:id="14"/>
      </w:r>
      <w:r w:rsidR="004900CE" w:rsidRPr="00C444CE">
        <w:t xml:space="preserve"> </w:t>
      </w:r>
      <w:r w:rsidRPr="00C444CE">
        <w:t>However, there</w:t>
      </w:r>
      <w:r w:rsidR="00603E17">
        <w:t xml:space="preserve"> has been</w:t>
      </w:r>
      <w:r w:rsidR="008A4801">
        <w:t>, and there remains,</w:t>
      </w:r>
      <w:r w:rsidRPr="00C444CE">
        <w:t xml:space="preserve"> disagreement</w:t>
      </w:r>
      <w:r w:rsidR="0040278F">
        <w:t xml:space="preserve"> between stakeholders</w:t>
      </w:r>
      <w:r w:rsidRPr="00C444CE">
        <w:t xml:space="preserve"> over whether proper representation and consultation took place</w:t>
      </w:r>
      <w:r w:rsidR="00D621EE">
        <w:t xml:space="preserve">. One disagreement </w:t>
      </w:r>
      <w:r w:rsidR="00A17DC2">
        <w:t xml:space="preserve">relates to the </w:t>
      </w:r>
      <w:r w:rsidR="00560CCB" w:rsidRPr="00C444CE">
        <w:t xml:space="preserve">assertion that </w:t>
      </w:r>
      <w:r w:rsidRPr="00C444CE">
        <w:t>other iwi and hapū who have strong ties to Ihumātao were not consulted or included in the decision-making process for the development.</w:t>
      </w:r>
      <w:r w:rsidRPr="00C444CE">
        <w:rPr>
          <w:rStyle w:val="EndnoteReference"/>
        </w:rPr>
        <w:endnoteReference w:id="15"/>
      </w:r>
    </w:p>
    <w:p w14:paraId="344BD9A6" w14:textId="3A9E46FF" w:rsidR="00705712" w:rsidRPr="00C444CE" w:rsidRDefault="00705712" w:rsidP="00EB262B">
      <w:r w:rsidRPr="00C444CE">
        <w:t xml:space="preserve">The situation at Ihumātao has been </w:t>
      </w:r>
      <w:r w:rsidR="000F0A88">
        <w:t>brought to the attention of the United Nations (UN)</w:t>
      </w:r>
      <w:r w:rsidRPr="00C444CE">
        <w:t xml:space="preserve"> by SOUL (Save Our Unique Landscape), a</w:t>
      </w:r>
      <w:r w:rsidR="00D02682" w:rsidRPr="00C444CE">
        <w:t xml:space="preserve"> </w:t>
      </w:r>
      <w:r w:rsidRPr="00C444CE">
        <w:t>group established to raise awareness of the Special Housing Area decision on the rights of mana whenua and advocate for the return of the land to mana whenua</w:t>
      </w:r>
      <w:r w:rsidR="004900CE" w:rsidRPr="00C444CE">
        <w:t>.</w:t>
      </w:r>
      <w:r w:rsidR="00D02682" w:rsidRPr="00C444CE">
        <w:rPr>
          <w:rStyle w:val="EndnoteReference"/>
        </w:rPr>
        <w:endnoteReference w:id="16"/>
      </w:r>
      <w:r w:rsidR="004900CE" w:rsidRPr="00C444CE">
        <w:t xml:space="preserve"> </w:t>
      </w:r>
      <w:r w:rsidRPr="00C444CE">
        <w:t>UN bodies have considered (and are currently considering) the matter.</w:t>
      </w:r>
    </w:p>
    <w:p w14:paraId="2E336661" w14:textId="3620747F" w:rsidR="00705712" w:rsidRPr="00C444CE" w:rsidRDefault="00705712" w:rsidP="00EB262B">
      <w:r w:rsidRPr="00C444CE">
        <w:t>For more information on the background to Ihumātao, see the Report of the Māori Affairs Select Committee on the Petition to Save Ihumātao</w:t>
      </w:r>
      <w:r w:rsidR="00551567">
        <w:t>;</w:t>
      </w:r>
      <w:r w:rsidRPr="00C444CE">
        <w:rPr>
          <w:rStyle w:val="EndnoteReference"/>
        </w:rPr>
        <w:endnoteReference w:id="17"/>
      </w:r>
      <w:r w:rsidR="004900CE" w:rsidRPr="00C444CE">
        <w:t xml:space="preserve"> </w:t>
      </w:r>
      <w:r w:rsidRPr="00C444CE">
        <w:t>the Shadow Report on Special Housing Area 62 in Ihumātao, presented by Pania Newton on behalf of SOUL</w:t>
      </w:r>
      <w:r w:rsidR="00551567">
        <w:t>;</w:t>
      </w:r>
      <w:r w:rsidRPr="00C444CE">
        <w:rPr>
          <w:rStyle w:val="EndnoteReference"/>
        </w:rPr>
        <w:endnoteReference w:id="18"/>
      </w:r>
      <w:r w:rsidR="004900CE" w:rsidRPr="00C444CE">
        <w:t xml:space="preserve"> </w:t>
      </w:r>
      <w:r w:rsidRPr="00C444CE">
        <w:t xml:space="preserve">the letter by the </w:t>
      </w:r>
      <w:r w:rsidR="009461E8">
        <w:t xml:space="preserve">UN </w:t>
      </w:r>
      <w:r w:rsidRPr="00C444CE">
        <w:t xml:space="preserve">Special Rapporteurs on </w:t>
      </w:r>
      <w:r w:rsidR="003B6B4A" w:rsidRPr="00C444CE">
        <w:t>the Right to A</w:t>
      </w:r>
      <w:r w:rsidRPr="00C444CE">
        <w:t xml:space="preserve">dequate </w:t>
      </w:r>
      <w:r w:rsidR="003B6B4A" w:rsidRPr="00C444CE">
        <w:t>H</w:t>
      </w:r>
      <w:r w:rsidRPr="00C444CE">
        <w:t xml:space="preserve">ousing and the </w:t>
      </w:r>
      <w:r w:rsidR="003B6B4A" w:rsidRPr="00C444CE">
        <w:t>R</w:t>
      </w:r>
      <w:r w:rsidRPr="00C444CE">
        <w:t xml:space="preserve">ights </w:t>
      </w:r>
      <w:r w:rsidR="003B6B4A" w:rsidRPr="00C444CE">
        <w:t>of I</w:t>
      </w:r>
      <w:r w:rsidRPr="00C444CE">
        <w:t xml:space="preserve">ndigenous </w:t>
      </w:r>
      <w:r w:rsidR="00002CD1" w:rsidRPr="00C444CE">
        <w:t>P</w:t>
      </w:r>
      <w:r w:rsidRPr="00C444CE">
        <w:t>eoples to the New Zealand Government</w:t>
      </w:r>
      <w:r w:rsidR="00AB434F">
        <w:t>;</w:t>
      </w:r>
      <w:r w:rsidRPr="00C444CE">
        <w:rPr>
          <w:rStyle w:val="EndnoteReference"/>
        </w:rPr>
        <w:endnoteReference w:id="19"/>
      </w:r>
      <w:r w:rsidRPr="00C444CE">
        <w:t xml:space="preserve"> and Advice to the Select Committee by Te Arawhiti, the Office for Māori-Crown Relations.</w:t>
      </w:r>
      <w:r w:rsidRPr="00C444CE">
        <w:rPr>
          <w:rStyle w:val="EndnoteReference"/>
        </w:rPr>
        <w:endnoteReference w:id="20"/>
      </w:r>
    </w:p>
    <w:p w14:paraId="0B8402DC" w14:textId="77777777" w:rsidR="00EB262B" w:rsidRPr="00C444CE" w:rsidRDefault="00EB262B">
      <w:pPr>
        <w:spacing w:line="259" w:lineRule="auto"/>
        <w:jc w:val="left"/>
        <w:rPr>
          <w:rFonts w:eastAsiaTheme="majorEastAsia"/>
          <w:b/>
          <w:bCs/>
          <w:color w:val="762123"/>
          <w:sz w:val="32"/>
          <w:szCs w:val="32"/>
        </w:rPr>
      </w:pPr>
      <w:r w:rsidRPr="00C444CE">
        <w:br w:type="page"/>
      </w:r>
    </w:p>
    <w:p w14:paraId="4A31D593" w14:textId="162DA6CF" w:rsidR="00705712" w:rsidRPr="00C444CE" w:rsidRDefault="00705712" w:rsidP="00EB262B">
      <w:pPr>
        <w:pStyle w:val="Heading1"/>
      </w:pPr>
      <w:bookmarkStart w:id="5" w:name="_Toc17386670"/>
      <w:r w:rsidRPr="00C444CE">
        <w:lastRenderedPageBreak/>
        <w:t xml:space="preserve">Te Ao Māori - the Māori </w:t>
      </w:r>
      <w:r w:rsidR="004041D6">
        <w:t>w</w:t>
      </w:r>
      <w:r w:rsidRPr="00C444CE">
        <w:t xml:space="preserve">orld </w:t>
      </w:r>
      <w:r w:rsidR="004041D6">
        <w:t>v</w:t>
      </w:r>
      <w:r w:rsidRPr="00C444CE">
        <w:t>iew</w:t>
      </w:r>
      <w:r w:rsidRPr="00C444CE">
        <w:rPr>
          <w:noProof/>
        </w:rPr>
        <mc:AlternateContent>
          <mc:Choice Requires="aink">
            <w:drawing>
              <wp:anchor distT="0" distB="0" distL="114300" distR="114300" simplePos="0" relativeHeight="251658242" behindDoc="0" locked="0" layoutInCell="1" allowOverlap="1" wp14:anchorId="329BDBF4" wp14:editId="68A71425">
                <wp:simplePos x="0" y="0"/>
                <wp:positionH relativeFrom="column">
                  <wp:posOffset>-195</wp:posOffset>
                </wp:positionH>
                <wp:positionV relativeFrom="paragraph">
                  <wp:posOffset>30180</wp:posOffset>
                </wp:positionV>
                <wp:extent cx="360" cy="360"/>
                <wp:effectExtent l="57150" t="38100" r="38100" b="57150"/>
                <wp:wrapNone/>
                <wp:docPr id="12"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cex="http://schemas.microsoft.com/office/word/2018/wordml/cex" xmlns:w16="http://schemas.microsoft.com/office/word/2018/wordml" xmlns:arto="http://schemas.microsoft.com/office/word/2006/arto">
            <w:drawing>
              <wp:anchor distT="0" distB="0" distL="114300" distR="114300" simplePos="0" relativeHeight="251658242" behindDoc="0" locked="0" layoutInCell="1" allowOverlap="1" wp14:anchorId="329BDBF4" wp14:editId="68A71425">
                <wp:simplePos x="0" y="0"/>
                <wp:positionH relativeFrom="column">
                  <wp:posOffset>-195</wp:posOffset>
                </wp:positionH>
                <wp:positionV relativeFrom="paragraph">
                  <wp:posOffset>30180</wp:posOffset>
                </wp:positionV>
                <wp:extent cx="360" cy="360"/>
                <wp:effectExtent l="57150" t="38100" r="38100" b="5715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18"/>
                        <a:stretch>
                          <a:fillRect/>
                        </a:stretch>
                      </pic:blipFill>
                      <pic:spPr>
                        <a:xfrm>
                          <a:off x="0" y="0"/>
                          <a:ext cx="36000" cy="216000"/>
                        </a:xfrm>
                        <a:prstGeom prst="rect">
                          <a:avLst/>
                        </a:prstGeom>
                      </pic:spPr>
                    </pic:pic>
                  </a:graphicData>
                </a:graphic>
              </wp:anchor>
            </w:drawing>
          </mc:Fallback>
        </mc:AlternateContent>
      </w:r>
      <w:bookmarkEnd w:id="5"/>
    </w:p>
    <w:p w14:paraId="27FF4F47" w14:textId="73A4D3BF" w:rsidR="00705712" w:rsidRPr="00C444CE" w:rsidRDefault="00705712" w:rsidP="00EB262B">
      <w:r w:rsidRPr="00C444CE">
        <w:rPr>
          <w:noProof/>
        </w:rPr>
        <mc:AlternateContent>
          <mc:Choice Requires="aink">
            <w:drawing>
              <wp:anchor distT="0" distB="0" distL="114300" distR="114300" simplePos="0" relativeHeight="251658241" behindDoc="0" locked="0" layoutInCell="1" allowOverlap="1" wp14:anchorId="3418A0C5" wp14:editId="7C65C24E">
                <wp:simplePos x="0" y="0"/>
                <wp:positionH relativeFrom="column">
                  <wp:posOffset>142365</wp:posOffset>
                </wp:positionH>
                <wp:positionV relativeFrom="paragraph">
                  <wp:posOffset>68430</wp:posOffset>
                </wp:positionV>
                <wp:extent cx="360" cy="360"/>
                <wp:effectExtent l="57150" t="38100" r="38100" b="57150"/>
                <wp:wrapNone/>
                <wp:docPr id="11" name="Ink 1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16cex="http://schemas.microsoft.com/office/word/2018/wordml/cex" xmlns:w16="http://schemas.microsoft.com/office/word/2018/wordml" xmlns:arto="http://schemas.microsoft.com/office/word/2006/arto">
            <w:drawing>
              <wp:anchor distT="0" distB="0" distL="114300" distR="114300" simplePos="0" relativeHeight="251658241" behindDoc="0" locked="0" layoutInCell="1" allowOverlap="1" wp14:anchorId="3418A0C5" wp14:editId="7C65C24E">
                <wp:simplePos x="0" y="0"/>
                <wp:positionH relativeFrom="column">
                  <wp:posOffset>142365</wp:posOffset>
                </wp:positionH>
                <wp:positionV relativeFrom="paragraph">
                  <wp:posOffset>68430</wp:posOffset>
                </wp:positionV>
                <wp:extent cx="360" cy="360"/>
                <wp:effectExtent l="57150" t="38100" r="38100" b="5715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Pr="00C444CE">
        <w:t xml:space="preserve">Te Ao Māori (the Māori world view) is also of fundamental importance to understanding the human rights dimensions of Ihumātao. There is synergy between the </w:t>
      </w:r>
      <w:r w:rsidR="00A02054" w:rsidRPr="00C444CE">
        <w:t xml:space="preserve">fundamental tenets </w:t>
      </w:r>
      <w:r w:rsidRPr="00C444CE">
        <w:t>of Te Ao Māori</w:t>
      </w:r>
      <w:r w:rsidR="00541FCE">
        <w:t>, Ti Tiriti</w:t>
      </w:r>
      <w:r w:rsidRPr="00C444CE">
        <w:t xml:space="preserve"> and the Declaration. </w:t>
      </w:r>
      <w:r w:rsidR="00A02054" w:rsidRPr="00C444CE">
        <w:t>The</w:t>
      </w:r>
      <w:r w:rsidRPr="00C444CE">
        <w:t xml:space="preserve"> Commission </w:t>
      </w:r>
      <w:r w:rsidR="00A02054" w:rsidRPr="00C444CE">
        <w:t xml:space="preserve">also </w:t>
      </w:r>
      <w:r w:rsidRPr="00C444CE">
        <w:t xml:space="preserve">acknowledges that tikanga, kawa, customs and practices vary between </w:t>
      </w:r>
      <w:r w:rsidR="00A02054" w:rsidRPr="00C444CE">
        <w:t>iwi and hapū</w:t>
      </w:r>
      <w:r w:rsidRPr="00C444CE">
        <w:t xml:space="preserve">. Indeed, it is for mana whenua to determine how their customs and practices are interpreted and applied in different circumstances. </w:t>
      </w:r>
    </w:p>
    <w:p w14:paraId="65B08D4D" w14:textId="6AB1A926" w:rsidR="00705712" w:rsidRPr="00C444CE" w:rsidRDefault="00705712" w:rsidP="00EB262B">
      <w:r w:rsidRPr="00C444CE">
        <w:t>Central to Te Ao Māori is the spiritual belief that human beings descend from Papatū</w:t>
      </w:r>
      <w:r w:rsidR="00132AC1" w:rsidRPr="00C444CE">
        <w:t>ā</w:t>
      </w:r>
      <w:r w:rsidRPr="00C444CE">
        <w:t xml:space="preserve">nuku (the earth) and elements of the natural world. Standards of conduct according to tikanga Māori (Māori </w:t>
      </w:r>
      <w:r w:rsidR="004F5FEF">
        <w:t>system of values, practices and norms that regulate social behaviour</w:t>
      </w:r>
      <w:r w:rsidRPr="00C444CE">
        <w:t>)</w:t>
      </w:r>
      <w:r w:rsidR="007608AC">
        <w:rPr>
          <w:rStyle w:val="EndnoteReference"/>
        </w:rPr>
        <w:endnoteReference w:id="21"/>
      </w:r>
      <w:r w:rsidRPr="00C444CE">
        <w:t xml:space="preserve"> vary among different hapū and iwi</w:t>
      </w:r>
      <w:r w:rsidR="007608AC">
        <w:t xml:space="preserve"> </w:t>
      </w:r>
      <w:r w:rsidRPr="00C444CE">
        <w:t>but </w:t>
      </w:r>
      <w:r w:rsidR="00FC7333" w:rsidRPr="00C444CE">
        <w:t>are</w:t>
      </w:r>
      <w:r w:rsidR="0022265D" w:rsidRPr="00C444CE">
        <w:t xml:space="preserve"> </w:t>
      </w:r>
      <w:r w:rsidRPr="00C444CE">
        <w:t>underpinned by core common values such as</w:t>
      </w:r>
      <w:r w:rsidR="0022265D" w:rsidRPr="00C444CE">
        <w:t xml:space="preserve"> </w:t>
      </w:r>
      <w:r w:rsidRPr="00C444CE">
        <w:t>whakapapa, whanaungatanga, kaitiakitanga</w:t>
      </w:r>
      <w:r w:rsidR="00FC7333" w:rsidRPr="00C444CE">
        <w:t xml:space="preserve"> and mana</w:t>
      </w:r>
      <w:r w:rsidRPr="00C444CE">
        <w:t>.</w:t>
      </w:r>
      <w:r w:rsidRPr="00C444CE">
        <w:rPr>
          <w:rStyle w:val="EndnoteReference"/>
        </w:rPr>
        <w:endnoteReference w:id="22"/>
      </w:r>
      <w:r w:rsidRPr="00C444CE">
        <w:t>  </w:t>
      </w:r>
    </w:p>
    <w:p w14:paraId="42ABBA4E" w14:textId="21C838A1" w:rsidR="00CF2205" w:rsidRPr="00C444CE" w:rsidRDefault="00705712" w:rsidP="00CF2205">
      <w:r w:rsidRPr="00C444CE">
        <w:t>Whakapapa (genealogy) and whanaungatanga (kinship, relationships and responsibilities) have been described as “the glue holding the Māori world together”</w:t>
      </w:r>
      <w:r w:rsidR="004900CE" w:rsidRPr="00C444CE">
        <w:t>.</w:t>
      </w:r>
      <w:r w:rsidRPr="00C444CE">
        <w:rPr>
          <w:rStyle w:val="EndnoteReference"/>
        </w:rPr>
        <w:endnoteReference w:id="23"/>
      </w:r>
      <w:r w:rsidRPr="00C444CE">
        <w:t xml:space="preserve">  They underpin a world view where humans are genealogically connected to the natural world, and relationships – between people (past, present and future generations), and between people and natural resources – are of central importance.  Kaitiakitanga (stewardship, guardianship) is a system of </w:t>
      </w:r>
      <w:r w:rsidR="00FC7333" w:rsidRPr="00C444CE">
        <w:t xml:space="preserve">reciprocal rights and </w:t>
      </w:r>
      <w:r w:rsidRPr="00C444CE">
        <w:t>responsibilities that stem from those relationships, and which entail intergenerational obligations and also spiritual dimensions</w:t>
      </w:r>
      <w:r w:rsidR="004900CE" w:rsidRPr="00C444CE">
        <w:t>.</w:t>
      </w:r>
      <w:r w:rsidRPr="00C444CE">
        <w:rPr>
          <w:rStyle w:val="EndnoteReference"/>
        </w:rPr>
        <w:endnoteReference w:id="24"/>
      </w:r>
      <w:r w:rsidR="004900CE" w:rsidRPr="00C444CE">
        <w:t xml:space="preserve"> </w:t>
      </w:r>
      <w:r w:rsidRPr="00C444CE">
        <w:t>The exercise of</w:t>
      </w:r>
      <w:r w:rsidRPr="00C444CE">
        <w:rPr>
          <w:i/>
        </w:rPr>
        <w:t xml:space="preserve"> </w:t>
      </w:r>
      <w:r w:rsidRPr="00C444CE">
        <w:t>mana (authority, power, leadership) is also tied to the maintenance of these relationships and responsibilities. </w:t>
      </w:r>
      <w:r w:rsidR="00B51122" w:rsidRPr="00C444CE">
        <w:t>These core values speak to an indivisible relationship between Māori and whenua</w:t>
      </w:r>
      <w:r w:rsidR="00CF2205" w:rsidRPr="00C444CE">
        <w:t xml:space="preserve"> </w:t>
      </w:r>
      <w:r w:rsidR="00EF221E" w:rsidRPr="00C444CE">
        <w:t xml:space="preserve">and </w:t>
      </w:r>
      <w:r w:rsidR="00CF2205" w:rsidRPr="00C444CE">
        <w:t>are reinforced by the principles of the Declaration.</w:t>
      </w:r>
    </w:p>
    <w:p w14:paraId="02856ABA" w14:textId="3593D8AB" w:rsidR="00EB262B" w:rsidRPr="00C444CE" w:rsidRDefault="00705712" w:rsidP="00310FAF">
      <w:pPr>
        <w:rPr>
          <w:rFonts w:eastAsiaTheme="majorEastAsia"/>
          <w:b/>
          <w:bCs/>
          <w:color w:val="762123"/>
          <w:sz w:val="32"/>
          <w:szCs w:val="32"/>
        </w:rPr>
      </w:pPr>
      <w:r w:rsidRPr="00C444CE">
        <w:t>Many of these Māori values are also shared by other indigenous peoples around the world and have been reflected in the Declaration.  The collective nature of Māori and other indigenous societies, the sense of spiritual and genealogical connection to land, and emphasis on responsibilities to the land and to future generations, are all reflected in the Declaration’s provisions.  The Declaration explains how international human rights standards should be interpreted and applied to the specific circumstances of indigenous peoples, in light of these common core features of indigenous societies, as well as the shared histories of colonisation and discrimination. </w:t>
      </w:r>
    </w:p>
    <w:p w14:paraId="55B74E02" w14:textId="65CE0991" w:rsidR="00705712" w:rsidRPr="00C444CE" w:rsidRDefault="00705712" w:rsidP="00EB262B">
      <w:pPr>
        <w:pStyle w:val="Heading1"/>
      </w:pPr>
      <w:bookmarkStart w:id="6" w:name="_Toc17386671"/>
      <w:r w:rsidRPr="00C444CE">
        <w:lastRenderedPageBreak/>
        <w:t>The United Nations Declaration on the Rights of Indigenous People</w:t>
      </w:r>
      <w:r w:rsidR="00E02282" w:rsidRPr="00C444CE">
        <w:t>s</w:t>
      </w:r>
      <w:bookmarkEnd w:id="6"/>
    </w:p>
    <w:p w14:paraId="12075FB8" w14:textId="47EE1562" w:rsidR="00705712" w:rsidRPr="00C444CE" w:rsidRDefault="00705712" w:rsidP="00EB262B">
      <w:r w:rsidRPr="00C444CE">
        <w:t>The Declaration is the most comprehensive, globally supported and legitimate international legal instrument setting out the rights of indigenous peoples.</w:t>
      </w:r>
      <w:r w:rsidRPr="00C444CE">
        <w:rPr>
          <w:rStyle w:val="EndnoteReference"/>
        </w:rPr>
        <w:endnoteReference w:id="25"/>
      </w:r>
      <w:r w:rsidRPr="00C444CE">
        <w:t xml:space="preserve"> The Waitangi Tribunal </w:t>
      </w:r>
      <w:r w:rsidR="003B6B4A" w:rsidRPr="00C444CE">
        <w:t xml:space="preserve">has </w:t>
      </w:r>
      <w:r w:rsidRPr="00C444CE">
        <w:t>described the Declaration as “</w:t>
      </w:r>
      <w:r w:rsidRPr="00C444CE">
        <w:rPr>
          <w:i/>
        </w:rPr>
        <w:t>perhaps the most important international instrument for Māori people</w:t>
      </w:r>
      <w:r w:rsidRPr="00C444CE">
        <w:t>”</w:t>
      </w:r>
      <w:r w:rsidRPr="00C444CE">
        <w:rPr>
          <w:vertAlign w:val="superscript"/>
        </w:rPr>
        <w:endnoteReference w:id="26"/>
      </w:r>
      <w:r w:rsidRPr="00C444CE">
        <w:t xml:space="preserve"> and </w:t>
      </w:r>
      <w:r w:rsidR="000F0A88">
        <w:t>has taken</w:t>
      </w:r>
      <w:r w:rsidR="00254345" w:rsidRPr="00C444CE">
        <w:t xml:space="preserve"> </w:t>
      </w:r>
      <w:r w:rsidRPr="00C444CE">
        <w:t>its articles</w:t>
      </w:r>
      <w:r w:rsidR="00254345" w:rsidRPr="00C444CE">
        <w:t xml:space="preserve"> </w:t>
      </w:r>
      <w:r w:rsidRPr="00C444CE">
        <w:t xml:space="preserve">into account when assessing </w:t>
      </w:r>
      <w:r w:rsidR="006F148B">
        <w:t>State</w:t>
      </w:r>
      <w:r w:rsidRPr="00C444CE">
        <w:t xml:space="preserve"> actions.</w:t>
      </w:r>
      <w:r w:rsidRPr="00C444CE">
        <w:rPr>
          <w:vertAlign w:val="superscript"/>
        </w:rPr>
        <w:endnoteReference w:id="27"/>
      </w:r>
      <w:r w:rsidRPr="00C444CE">
        <w:t xml:space="preserve"> The Supreme Court </w:t>
      </w:r>
      <w:r w:rsidR="000F0A88">
        <w:t>of</w:t>
      </w:r>
      <w:r w:rsidRPr="00C444CE">
        <w:t xml:space="preserve"> New Zealand has also referred to the Declaration when interpreting the way New Zealand law affects Māori legal rights and interests.</w:t>
      </w:r>
      <w:r w:rsidRPr="00C444CE">
        <w:rPr>
          <w:vertAlign w:val="superscript"/>
        </w:rPr>
        <w:endnoteReference w:id="28"/>
      </w:r>
      <w:r w:rsidRPr="00C444CE">
        <w:t xml:space="preserve"> </w:t>
      </w:r>
    </w:p>
    <w:p w14:paraId="58EBB59E" w14:textId="217482C5" w:rsidR="00705712" w:rsidRPr="00C444CE" w:rsidRDefault="00705712" w:rsidP="00EB262B">
      <w:r w:rsidRPr="00C444CE">
        <w:t>The Declaration reflects human rights expressed in a range of international treaties which are binding on New Zealand. These rights include: the rights of indigenous people</w:t>
      </w:r>
      <w:r w:rsidR="00530392">
        <w:t>s</w:t>
      </w:r>
      <w:r w:rsidRPr="00C444CE">
        <w:t xml:space="preserve"> to their culture</w:t>
      </w:r>
      <w:r w:rsidRPr="00C444CE">
        <w:rPr>
          <w:rStyle w:val="EndnoteReference"/>
        </w:rPr>
        <w:endnoteReference w:id="29"/>
      </w:r>
      <w:r w:rsidRPr="00C444CE">
        <w:t xml:space="preserve"> and customs</w:t>
      </w:r>
      <w:r w:rsidR="000745BA" w:rsidRPr="00C444CE">
        <w:t>,</w:t>
      </w:r>
      <w:r w:rsidRPr="00C444CE">
        <w:rPr>
          <w:rStyle w:val="EndnoteReference"/>
        </w:rPr>
        <w:endnoteReference w:id="30"/>
      </w:r>
      <w:r w:rsidRPr="00C444CE">
        <w:t xml:space="preserve"> lands and territories,</w:t>
      </w:r>
      <w:r w:rsidRPr="00C444CE">
        <w:rPr>
          <w:rStyle w:val="EndnoteReference"/>
        </w:rPr>
        <w:endnoteReference w:id="31"/>
      </w:r>
      <w:r w:rsidRPr="00C444CE">
        <w:t xml:space="preserve"> as well as their distinctive spiritual relationship with traditionally owned lands.</w:t>
      </w:r>
      <w:r w:rsidRPr="00C444CE">
        <w:rPr>
          <w:rStyle w:val="EndnoteReference"/>
        </w:rPr>
        <w:endnoteReference w:id="32"/>
      </w:r>
      <w:r w:rsidRPr="00C444CE">
        <w:t xml:space="preserve"> </w:t>
      </w:r>
    </w:p>
    <w:p w14:paraId="6DEC2A38" w14:textId="2C51E7C1" w:rsidR="00705712" w:rsidRPr="00C444CE" w:rsidRDefault="00705712" w:rsidP="00EB262B">
      <w:r w:rsidRPr="00C444CE">
        <w:t>The Declaration also affirms the right to non-discrimination and self-determination of indigenous peoples. In this way, it builds upon existing rights and freedoms of indigenous people</w:t>
      </w:r>
      <w:r w:rsidR="00E02282" w:rsidRPr="00C444CE">
        <w:t>s</w:t>
      </w:r>
      <w:r w:rsidRPr="00C444CE">
        <w:t xml:space="preserve"> under international, domestic and customary law.</w:t>
      </w:r>
    </w:p>
    <w:p w14:paraId="0DE21BF2" w14:textId="75FCB1D4" w:rsidR="00705712" w:rsidRPr="00C444CE" w:rsidRDefault="00705712" w:rsidP="00EB262B">
      <w:r w:rsidRPr="00C444CE">
        <w:t xml:space="preserve">The Declaration also recognises that indigenous peoples have historically been denied the benefit of </w:t>
      </w:r>
      <w:r w:rsidR="007C384C">
        <w:t xml:space="preserve">many </w:t>
      </w:r>
      <w:r w:rsidRPr="00C444CE">
        <w:t xml:space="preserve">human rights and </w:t>
      </w:r>
      <w:r w:rsidR="00E72E49" w:rsidRPr="00C444CE">
        <w:t xml:space="preserve">it </w:t>
      </w:r>
      <w:r w:rsidRPr="00C444CE">
        <w:t>places an obligation on States to not only provide for redress for historical grievances</w:t>
      </w:r>
      <w:r w:rsidRPr="00C444CE">
        <w:rPr>
          <w:rStyle w:val="EndnoteReference"/>
        </w:rPr>
        <w:endnoteReference w:id="33"/>
      </w:r>
      <w:r w:rsidRPr="00C444CE">
        <w:t xml:space="preserve"> but also encourage practices, supported by legislation, which prevent such grievances from </w:t>
      </w:r>
      <w:r w:rsidR="00D34EFA">
        <w:t>re</w:t>
      </w:r>
      <w:r w:rsidRPr="00C444CE">
        <w:t>curring in the future.</w:t>
      </w:r>
      <w:r w:rsidRPr="00C444CE">
        <w:rPr>
          <w:rStyle w:val="EndnoteReference"/>
        </w:rPr>
        <w:endnoteReference w:id="34"/>
      </w:r>
    </w:p>
    <w:p w14:paraId="6BDE575D" w14:textId="14ABA393" w:rsidR="00705712" w:rsidRPr="00C444CE" w:rsidRDefault="00705712" w:rsidP="00E12115">
      <w:pPr>
        <w:pStyle w:val="Heading2"/>
      </w:pPr>
      <w:bookmarkStart w:id="7" w:name="_Toc17386672"/>
      <w:r w:rsidRPr="00C444CE">
        <w:t>The Declaration and Te Tiriti</w:t>
      </w:r>
      <w:bookmarkEnd w:id="7"/>
    </w:p>
    <w:p w14:paraId="33098BD4" w14:textId="6228DC36" w:rsidR="00705712" w:rsidRPr="00C444CE" w:rsidRDefault="00705712" w:rsidP="00EB262B">
      <w:r w:rsidRPr="00C444CE">
        <w:t xml:space="preserve">The Declaration complements and reinforces both the text of Te Tiriti as well as the principles developed by the Waitangi Tribunal. New Zealand </w:t>
      </w:r>
      <w:r w:rsidR="003B6B4A" w:rsidRPr="00C444CE">
        <w:t>c</w:t>
      </w:r>
      <w:r w:rsidRPr="00C444CE">
        <w:t>ourts and the Waitangi Tribunal have interpreted Te Tiriti and the Declaration alongside one another.</w:t>
      </w:r>
      <w:r w:rsidRPr="00C444CE">
        <w:rPr>
          <w:rStyle w:val="EndnoteReference"/>
        </w:rPr>
        <w:endnoteReference w:id="35"/>
      </w:r>
    </w:p>
    <w:p w14:paraId="44CFC455" w14:textId="28F975A6" w:rsidR="00705712" w:rsidRPr="00C444CE" w:rsidRDefault="00705712" w:rsidP="00EB262B">
      <w:pPr>
        <w:rPr>
          <w:rStyle w:val="normaltextrun"/>
          <w:rFonts w:cstheme="minorHAnsi"/>
        </w:rPr>
      </w:pPr>
      <w:r w:rsidRPr="00C444CE">
        <w:rPr>
          <w:rStyle w:val="normaltextrun"/>
          <w:rFonts w:cstheme="minorHAnsi"/>
        </w:rPr>
        <w:t>In recent times, the Waitangi Tribunal has considered how the Declaration and Te Tiriti interrelate. The Tribunal ha</w:t>
      </w:r>
      <w:r w:rsidR="003B6B4A" w:rsidRPr="00C444CE">
        <w:rPr>
          <w:rStyle w:val="normaltextrun"/>
          <w:rFonts w:cstheme="minorHAnsi"/>
        </w:rPr>
        <w:t>s</w:t>
      </w:r>
      <w:r w:rsidRPr="00C444CE">
        <w:rPr>
          <w:rStyle w:val="normaltextrun"/>
          <w:rFonts w:cstheme="minorHAnsi"/>
        </w:rPr>
        <w:t xml:space="preserve"> considered that while </w:t>
      </w:r>
      <w:r w:rsidR="003B6B4A" w:rsidRPr="00C444CE">
        <w:rPr>
          <w:rStyle w:val="normaltextrun"/>
          <w:rFonts w:cstheme="minorHAnsi"/>
        </w:rPr>
        <w:t xml:space="preserve">its </w:t>
      </w:r>
      <w:r w:rsidRPr="00C444CE">
        <w:rPr>
          <w:rStyle w:val="normaltextrun"/>
          <w:rFonts w:cstheme="minorHAnsi"/>
        </w:rPr>
        <w:t xml:space="preserve">role is not to make findings </w:t>
      </w:r>
      <w:r w:rsidR="00E72E49" w:rsidRPr="00C444CE">
        <w:rPr>
          <w:rStyle w:val="normaltextrun"/>
          <w:rFonts w:cstheme="minorHAnsi"/>
        </w:rPr>
        <w:t xml:space="preserve">about </w:t>
      </w:r>
      <w:r w:rsidRPr="00C444CE">
        <w:rPr>
          <w:rStyle w:val="normaltextrun"/>
          <w:rFonts w:cstheme="minorHAnsi"/>
        </w:rPr>
        <w:t xml:space="preserve">whether the Crown </w:t>
      </w:r>
      <w:r w:rsidR="006B50A8" w:rsidRPr="00C444CE">
        <w:rPr>
          <w:rStyle w:val="normaltextrun"/>
          <w:rFonts w:cstheme="minorHAnsi"/>
        </w:rPr>
        <w:t xml:space="preserve">has </w:t>
      </w:r>
      <w:r w:rsidRPr="00C444CE">
        <w:rPr>
          <w:rStyle w:val="normaltextrun"/>
          <w:rFonts w:cstheme="minorHAnsi"/>
        </w:rPr>
        <w:t>acted inconsistently with the Declaration, it can use the Declaration as a tool in assessing Crown actions.</w:t>
      </w:r>
      <w:r w:rsidRPr="00C444CE">
        <w:rPr>
          <w:rStyle w:val="EndnoteReference"/>
          <w:rFonts w:cstheme="minorHAnsi"/>
        </w:rPr>
        <w:endnoteReference w:id="36"/>
      </w:r>
      <w:r w:rsidRPr="00C444CE">
        <w:rPr>
          <w:rStyle w:val="normaltextrun"/>
          <w:rFonts w:cstheme="minorHAnsi"/>
        </w:rPr>
        <w:t xml:space="preserve"> </w:t>
      </w:r>
    </w:p>
    <w:p w14:paraId="221710C9" w14:textId="2F50EB0A" w:rsidR="00705712" w:rsidRPr="00C444CE" w:rsidRDefault="00705712" w:rsidP="00EB262B">
      <w:r w:rsidRPr="00C444CE">
        <w:rPr>
          <w:rStyle w:val="normaltextrun"/>
          <w:rFonts w:cstheme="minorHAnsi"/>
        </w:rPr>
        <w:lastRenderedPageBreak/>
        <w:t>The Tribunal has compared the articles of the Declaration alongside the texts and principles of Te Tiriti</w:t>
      </w:r>
      <w:r w:rsidR="007A5B10" w:rsidRPr="00C444CE">
        <w:rPr>
          <w:rStyle w:val="normaltextrun"/>
          <w:rFonts w:cstheme="minorHAnsi"/>
        </w:rPr>
        <w:t xml:space="preserve">. In </w:t>
      </w:r>
      <w:r w:rsidRPr="00C444CE">
        <w:rPr>
          <w:rStyle w:val="normaltextrun"/>
          <w:rFonts w:cstheme="minorHAnsi"/>
        </w:rPr>
        <w:t>some instances</w:t>
      </w:r>
      <w:r w:rsidR="002271C1" w:rsidRPr="00C444CE">
        <w:rPr>
          <w:rStyle w:val="normaltextrun"/>
          <w:rFonts w:cstheme="minorHAnsi"/>
        </w:rPr>
        <w:t>,</w:t>
      </w:r>
      <w:r w:rsidRPr="00C444CE">
        <w:rPr>
          <w:rStyle w:val="normaltextrun"/>
          <w:rFonts w:cstheme="minorHAnsi"/>
        </w:rPr>
        <w:t xml:space="preserve"> the Tribunal has considered</w:t>
      </w:r>
      <w:r w:rsidR="00BB2844" w:rsidRPr="00C444CE">
        <w:rPr>
          <w:rStyle w:val="normaltextrun"/>
          <w:rFonts w:cstheme="minorHAnsi"/>
        </w:rPr>
        <w:t xml:space="preserve"> that</w:t>
      </w:r>
      <w:r w:rsidRPr="00C444CE">
        <w:rPr>
          <w:rStyle w:val="normaltextrun"/>
          <w:rFonts w:cstheme="minorHAnsi"/>
        </w:rPr>
        <w:t xml:space="preserve"> Crown obligations go beyond mere consultation</w:t>
      </w:r>
      <w:r w:rsidR="00824107" w:rsidRPr="00C444CE">
        <w:rPr>
          <w:rStyle w:val="normaltextrun"/>
          <w:rFonts w:cstheme="minorHAnsi"/>
        </w:rPr>
        <w:t xml:space="preserve"> with</w:t>
      </w:r>
      <w:r w:rsidRPr="00C444CE">
        <w:rPr>
          <w:rStyle w:val="normaltextrun"/>
          <w:rFonts w:cstheme="minorHAnsi"/>
        </w:rPr>
        <w:t xml:space="preserve"> </w:t>
      </w:r>
      <w:r w:rsidR="00824107" w:rsidRPr="00C444CE">
        <w:rPr>
          <w:rFonts w:cstheme="minorHAnsi"/>
        </w:rPr>
        <w:t xml:space="preserve">Māori </w:t>
      </w:r>
      <w:r w:rsidRPr="00C444CE">
        <w:rPr>
          <w:rStyle w:val="normaltextrun"/>
          <w:rFonts w:cstheme="minorHAnsi"/>
        </w:rPr>
        <w:t>and instead</w:t>
      </w:r>
      <w:r w:rsidR="005229D7" w:rsidRPr="00C444CE">
        <w:rPr>
          <w:rStyle w:val="normaltextrun"/>
          <w:rFonts w:cstheme="minorHAnsi"/>
        </w:rPr>
        <w:t xml:space="preserve"> </w:t>
      </w:r>
      <w:r w:rsidR="00346B09" w:rsidRPr="00C444CE">
        <w:rPr>
          <w:rStyle w:val="normaltextrun"/>
          <w:rFonts w:cstheme="minorHAnsi"/>
        </w:rPr>
        <w:t xml:space="preserve">require </w:t>
      </w:r>
      <w:r w:rsidRPr="00C444CE">
        <w:rPr>
          <w:rStyle w:val="normaltextrun"/>
          <w:rFonts w:cstheme="minorHAnsi"/>
        </w:rPr>
        <w:t>consensus and consent</w:t>
      </w:r>
      <w:r w:rsidR="0028647B" w:rsidRPr="00C444CE">
        <w:rPr>
          <w:rStyle w:val="normaltextrun"/>
          <w:rFonts w:cstheme="minorHAnsi"/>
        </w:rPr>
        <w:t xml:space="preserve">. </w:t>
      </w:r>
      <w:r w:rsidRPr="00C444CE">
        <w:rPr>
          <w:rStyle w:val="normaltextrun"/>
          <w:rFonts w:cstheme="minorHAnsi"/>
        </w:rPr>
        <w:t xml:space="preserve"> </w:t>
      </w:r>
      <w:r w:rsidR="00A50D8C" w:rsidRPr="00C444CE">
        <w:rPr>
          <w:rStyle w:val="normaltextrun"/>
          <w:rFonts w:cstheme="minorHAnsi"/>
        </w:rPr>
        <w:t>Further</w:t>
      </w:r>
      <w:r w:rsidRPr="00C444CE">
        <w:rPr>
          <w:rStyle w:val="normaltextrun"/>
          <w:rFonts w:cstheme="minorHAnsi"/>
        </w:rPr>
        <w:t xml:space="preserve">, </w:t>
      </w:r>
      <w:r w:rsidR="00A50D8C" w:rsidRPr="00C444CE">
        <w:rPr>
          <w:rStyle w:val="normaltextrun"/>
          <w:rFonts w:cstheme="minorHAnsi"/>
        </w:rPr>
        <w:t xml:space="preserve">the Tribunal has indicated that </w:t>
      </w:r>
      <w:r w:rsidRPr="00C444CE">
        <w:rPr>
          <w:rStyle w:val="normaltextrun"/>
          <w:rFonts w:cstheme="minorHAnsi"/>
        </w:rPr>
        <w:t>in some circumstances the decision-making power should rest ultimately with Māori.</w:t>
      </w:r>
      <w:r w:rsidRPr="00C444CE">
        <w:rPr>
          <w:rStyle w:val="EndnoteReference"/>
          <w:rFonts w:cstheme="minorHAnsi"/>
        </w:rPr>
        <w:endnoteReference w:id="37"/>
      </w:r>
    </w:p>
    <w:p w14:paraId="349D9F2A" w14:textId="681274A1" w:rsidR="00705712" w:rsidRPr="00C444CE" w:rsidRDefault="00705712" w:rsidP="00E12115">
      <w:pPr>
        <w:pStyle w:val="Heading2"/>
      </w:pPr>
      <w:bookmarkStart w:id="8" w:name="_Toc17386673"/>
      <w:r w:rsidRPr="00C444CE">
        <w:t>The Declaration rights most relevant to Ihumātao</w:t>
      </w:r>
      <w:bookmarkEnd w:id="8"/>
    </w:p>
    <w:p w14:paraId="62BE4021" w14:textId="5B585322" w:rsidR="00705712" w:rsidRPr="00C444CE" w:rsidRDefault="00705712" w:rsidP="00EB262B">
      <w:r w:rsidRPr="00C444CE">
        <w:t>This section sets out an overview of the rights contained in the Declaration that the Commission considers to be most relevant to Ihumātao. These rights are inter-related</w:t>
      </w:r>
      <w:r w:rsidR="00D02682" w:rsidRPr="00C444CE">
        <w:t>.</w:t>
      </w:r>
    </w:p>
    <w:p w14:paraId="0688BEF6" w14:textId="438FA29D" w:rsidR="00705712" w:rsidRPr="00C444CE" w:rsidRDefault="00705712" w:rsidP="00E12115">
      <w:pPr>
        <w:pStyle w:val="Heading3"/>
      </w:pPr>
      <w:bookmarkStart w:id="9" w:name="_Toc17386674"/>
      <w:r w:rsidRPr="00C444CE">
        <w:t>The Right to Land</w:t>
      </w:r>
      <w:bookmarkEnd w:id="9"/>
      <w:r w:rsidRPr="00C444CE">
        <w:t xml:space="preserve"> </w:t>
      </w:r>
    </w:p>
    <w:p w14:paraId="47128828" w14:textId="0EEE5A98" w:rsidR="00705712" w:rsidRPr="00C444CE" w:rsidRDefault="00705712" w:rsidP="00EB262B">
      <w:r w:rsidRPr="00C444CE">
        <w:t>The</w:t>
      </w:r>
      <w:r w:rsidRPr="00C444CE">
        <w:rPr>
          <w:b/>
        </w:rPr>
        <w:t xml:space="preserve"> </w:t>
      </w:r>
      <w:r w:rsidRPr="00C444CE">
        <w:t>Declaration provides that indigenous people</w:t>
      </w:r>
      <w:r w:rsidR="00874B1B">
        <w:t>s</w:t>
      </w:r>
      <w:r w:rsidRPr="00C444CE">
        <w:t xml:space="preserve"> have the right to the lands, territories and resources they have traditionally owned, occupied or used.</w:t>
      </w:r>
      <w:r w:rsidRPr="00C444CE">
        <w:rPr>
          <w:vertAlign w:val="superscript"/>
        </w:rPr>
        <w:endnoteReference w:id="38"/>
      </w:r>
      <w:r w:rsidRPr="00C444CE">
        <w:t xml:space="preserve">  </w:t>
      </w:r>
      <w:r w:rsidR="00F80BC8" w:rsidRPr="00C444CE">
        <w:t>This includes a right to develop their lands.</w:t>
      </w:r>
      <w:r w:rsidR="00F80BC8" w:rsidRPr="00C444CE">
        <w:rPr>
          <w:rStyle w:val="EndnoteReference"/>
        </w:rPr>
        <w:endnoteReference w:id="39"/>
      </w:r>
      <w:r w:rsidR="00F80BC8" w:rsidRPr="00C444CE">
        <w:t xml:space="preserve"> </w:t>
      </w:r>
      <w:r w:rsidRPr="00C444CE">
        <w:t>It also protects the right to maintain and strengthen the distinctive spiritual relationship indigenous people</w:t>
      </w:r>
      <w:r w:rsidR="006C0C31">
        <w:t>s</w:t>
      </w:r>
      <w:r w:rsidRPr="00C444CE">
        <w:t xml:space="preserve"> have with lands, territories, waters, coastal seas and other resources and to uphold this for future generations.</w:t>
      </w:r>
      <w:r w:rsidRPr="00C444CE">
        <w:rPr>
          <w:vertAlign w:val="superscript"/>
        </w:rPr>
        <w:endnoteReference w:id="40"/>
      </w:r>
      <w:r w:rsidR="00D02682" w:rsidRPr="00C444CE">
        <w:t xml:space="preserve"> </w:t>
      </w:r>
      <w:r w:rsidRPr="00C444CE">
        <w:t>It is apparent that this is a fundamental concern for mana whenua at Ihumātao.</w:t>
      </w:r>
    </w:p>
    <w:p w14:paraId="2CFE477D" w14:textId="692B90CE" w:rsidR="00705712" w:rsidRPr="00C444CE" w:rsidRDefault="00705712" w:rsidP="00EB262B">
      <w:r w:rsidRPr="00C444CE">
        <w:t xml:space="preserve">These rights align with the Treaty principles of tino rangatiratanga - Māori </w:t>
      </w:r>
      <w:r w:rsidR="00AE166E" w:rsidRPr="00C444CE">
        <w:t xml:space="preserve">self-determination and </w:t>
      </w:r>
      <w:r w:rsidRPr="00C444CE">
        <w:t>authority over their own taonga,</w:t>
      </w:r>
      <w:r w:rsidRPr="00C444CE">
        <w:rPr>
          <w:vertAlign w:val="superscript"/>
        </w:rPr>
        <w:endnoteReference w:id="41"/>
      </w:r>
      <w:r w:rsidRPr="00C444CE">
        <w:t xml:space="preserve"> and active protection where the Crown has a duty to actively protect Māori rights including regarding customary use of their lands. </w:t>
      </w:r>
    </w:p>
    <w:p w14:paraId="2CFD8614" w14:textId="1CFBCCF6" w:rsidR="00705712" w:rsidRPr="00C444CE" w:rsidRDefault="00705712" w:rsidP="00EB262B">
      <w:r w:rsidRPr="00C444CE">
        <w:t xml:space="preserve">The Declaration specifically provides for a right to redress where lands have been confiscated </w:t>
      </w:r>
      <w:r w:rsidR="00D02682" w:rsidRPr="00C444CE">
        <w:t>from indigenous people</w:t>
      </w:r>
      <w:r w:rsidR="003B6B4A" w:rsidRPr="00C444CE">
        <w:t>s</w:t>
      </w:r>
      <w:r w:rsidR="00D02682" w:rsidRPr="00C444CE">
        <w:t xml:space="preserve"> </w:t>
      </w:r>
      <w:r w:rsidRPr="00C444CE">
        <w:t>without the</w:t>
      </w:r>
      <w:r w:rsidR="00D02682" w:rsidRPr="00C444CE">
        <w:t xml:space="preserve">ir </w:t>
      </w:r>
      <w:r w:rsidRPr="00C444CE">
        <w:t>free, prior and informed consent.</w:t>
      </w:r>
      <w:r w:rsidRPr="00C444CE">
        <w:rPr>
          <w:vertAlign w:val="superscript"/>
        </w:rPr>
        <w:endnoteReference w:id="42"/>
      </w:r>
      <w:r w:rsidRPr="00C444CE">
        <w:t xml:space="preserve"> In recent years, United Nations </w:t>
      </w:r>
      <w:r w:rsidR="003B6B4A" w:rsidRPr="00C444CE">
        <w:t>t</w:t>
      </w:r>
      <w:r w:rsidRPr="00C444CE">
        <w:t>reaty bodies have focuss</w:t>
      </w:r>
      <w:r w:rsidR="003B6B4A" w:rsidRPr="00C444CE">
        <w:t>ed</w:t>
      </w:r>
      <w:r w:rsidRPr="00C444CE">
        <w:t xml:space="preserve"> on this issue. For example, the UN Committee on the Elimination of Racial Discrimination called on States “to recognize and protect the rights of indigenous peoples to own, develop, control and use their communal lands, territories and resources and, where they have been deprived of their lands and territories traditionally owned or otherwise inhabited or used without their free and informed consent, to take steps to return those lands and territories”.</w:t>
      </w:r>
      <w:r w:rsidRPr="00C444CE">
        <w:rPr>
          <w:vertAlign w:val="superscript"/>
        </w:rPr>
        <w:endnoteReference w:id="43"/>
      </w:r>
      <w:r w:rsidRPr="00C444CE">
        <w:t xml:space="preserve"> </w:t>
      </w:r>
    </w:p>
    <w:p w14:paraId="150D78B9" w14:textId="59ED0406" w:rsidR="00705712" w:rsidRPr="00C444CE" w:rsidRDefault="00705712" w:rsidP="00EB262B">
      <w:r w:rsidRPr="00C444CE">
        <w:rPr>
          <w:bCs/>
        </w:rPr>
        <w:t>The Expert Mechanism on the Rights of Indigenous Peoples (</w:t>
      </w:r>
      <w:r w:rsidRPr="00C444CE">
        <w:t xml:space="preserve">EMRIP) has also emphasised that </w:t>
      </w:r>
      <w:r w:rsidR="00AA2C32" w:rsidRPr="00C444CE">
        <w:t>indigen</w:t>
      </w:r>
      <w:r w:rsidR="00B47CD6" w:rsidRPr="00C444CE">
        <w:t>ous people</w:t>
      </w:r>
      <w:r w:rsidR="006C0C31">
        <w:t>s</w:t>
      </w:r>
      <w:r w:rsidRPr="00C444CE">
        <w:t xml:space="preserve"> whose land has been confiscated are entitled </w:t>
      </w:r>
      <w:r w:rsidRPr="00C444CE">
        <w:lastRenderedPageBreak/>
        <w:t>to restitution or other appropriate redress for land taken, occupied or damaged without consent.</w:t>
      </w:r>
      <w:r w:rsidRPr="00C444CE">
        <w:rPr>
          <w:vertAlign w:val="superscript"/>
        </w:rPr>
        <w:endnoteReference w:id="44"/>
      </w:r>
      <w:r w:rsidRPr="00C444CE">
        <w:t xml:space="preserve"> </w:t>
      </w:r>
      <w:r w:rsidR="00115C41" w:rsidRPr="00C444CE">
        <w:t>EMRIP ha</w:t>
      </w:r>
      <w:r w:rsidR="00377693" w:rsidRPr="00C444CE">
        <w:t>s</w:t>
      </w:r>
      <w:r w:rsidR="00115C41" w:rsidRPr="00C444CE">
        <w:t xml:space="preserve"> also </w:t>
      </w:r>
      <w:r w:rsidR="005F0DF2" w:rsidRPr="00C444CE">
        <w:t xml:space="preserve">found that indigenous perspectives must be taken into account when </w:t>
      </w:r>
      <w:r w:rsidR="00A15EF7" w:rsidRPr="00C444CE">
        <w:t xml:space="preserve">considering redress, in recognition that the </w:t>
      </w:r>
      <w:r w:rsidR="005C696E" w:rsidRPr="00C444CE">
        <w:t>spiritual and cultural value of the land transcends economic values.</w:t>
      </w:r>
      <w:r w:rsidR="00207CF4" w:rsidRPr="00C444CE">
        <w:rPr>
          <w:rStyle w:val="EndnoteReference"/>
        </w:rPr>
        <w:endnoteReference w:id="45"/>
      </w:r>
      <w:r w:rsidR="005C696E" w:rsidRPr="00C444CE">
        <w:t xml:space="preserve"> </w:t>
      </w:r>
      <w:r w:rsidR="003B6B4A" w:rsidRPr="00C444CE">
        <w:t xml:space="preserve">Scholars </w:t>
      </w:r>
      <w:r w:rsidRPr="00C444CE">
        <w:t>have also supported this</w:t>
      </w:r>
      <w:r w:rsidR="00020C92" w:rsidRPr="00C444CE">
        <w:t xml:space="preserve"> approach</w:t>
      </w:r>
      <w:r w:rsidRPr="00C444CE">
        <w:t>.</w:t>
      </w:r>
      <w:r w:rsidRPr="00C444CE">
        <w:rPr>
          <w:vertAlign w:val="superscript"/>
        </w:rPr>
        <w:endnoteReference w:id="46"/>
      </w:r>
    </w:p>
    <w:p w14:paraId="40DD0150" w14:textId="47C373C0" w:rsidR="00705712" w:rsidRPr="00C444CE" w:rsidRDefault="00705712" w:rsidP="00EB262B">
      <w:r w:rsidRPr="00C444CE">
        <w:t xml:space="preserve">Concerns over contemporary and historical land claims in New Zealand and the settlement processes with tangata whenua in this regard were also raised as a remaining challenge during the country visits by the </w:t>
      </w:r>
      <w:r w:rsidR="00156DB0">
        <w:t xml:space="preserve">UN </w:t>
      </w:r>
      <w:r w:rsidRPr="00C444CE">
        <w:t xml:space="preserve">Special Rapporteur on the Rights of </w:t>
      </w:r>
      <w:r w:rsidR="003D4C3E" w:rsidRPr="00C444CE">
        <w:t>I</w:t>
      </w:r>
      <w:r w:rsidRPr="00C444CE">
        <w:t>ndigenous Peoples to New Zealand in 2005</w:t>
      </w:r>
      <w:r w:rsidRPr="00C444CE">
        <w:rPr>
          <w:vertAlign w:val="superscript"/>
        </w:rPr>
        <w:endnoteReference w:id="47"/>
      </w:r>
      <w:r w:rsidRPr="00C444CE">
        <w:t xml:space="preserve"> and 2010</w:t>
      </w:r>
      <w:r w:rsidR="0083333E" w:rsidRPr="00C444CE">
        <w:t>.</w:t>
      </w:r>
      <w:r w:rsidRPr="00C444CE">
        <w:rPr>
          <w:vertAlign w:val="superscript"/>
        </w:rPr>
        <w:endnoteReference w:id="48"/>
      </w:r>
    </w:p>
    <w:p w14:paraId="0EBC9C39" w14:textId="69F7F5F8" w:rsidR="00705712" w:rsidRPr="00C444CE" w:rsidRDefault="00705712" w:rsidP="00E12115">
      <w:pPr>
        <w:pStyle w:val="Heading3"/>
      </w:pPr>
      <w:bookmarkStart w:id="10" w:name="_Toc17386675"/>
      <w:r w:rsidRPr="00C444CE">
        <w:t>The Right to Culture</w:t>
      </w:r>
      <w:bookmarkEnd w:id="10"/>
      <w:r w:rsidRPr="00C444CE">
        <w:t xml:space="preserve"> </w:t>
      </w:r>
    </w:p>
    <w:p w14:paraId="74C1F98A" w14:textId="69161F35" w:rsidR="00705712" w:rsidRPr="00C444CE" w:rsidRDefault="00705712" w:rsidP="00EB262B">
      <w:r w:rsidRPr="00C444CE">
        <w:t>A number of articles within the Declaration guarantee indigenous people</w:t>
      </w:r>
      <w:r w:rsidR="006C0C31">
        <w:t>s</w:t>
      </w:r>
      <w:r w:rsidRPr="00C444CE">
        <w:t xml:space="preserve"> the right to maintain, protect and develop the dignity of their culture.</w:t>
      </w:r>
      <w:r w:rsidRPr="00C444CE">
        <w:rPr>
          <w:vertAlign w:val="superscript"/>
        </w:rPr>
        <w:endnoteReference w:id="49"/>
      </w:r>
      <w:r w:rsidRPr="00C444CE">
        <w:t xml:space="preserve"> </w:t>
      </w:r>
    </w:p>
    <w:p w14:paraId="508F243C" w14:textId="1C550FFD" w:rsidR="00705712" w:rsidRPr="00C444CE" w:rsidRDefault="00705712" w:rsidP="00EB262B">
      <w:r w:rsidRPr="00C444CE">
        <w:t>The link between culture and land, particularly for indigenous peoples, has long been recognised internationally.</w:t>
      </w:r>
      <w:r w:rsidRPr="00C444CE">
        <w:rPr>
          <w:vertAlign w:val="superscript"/>
        </w:rPr>
        <w:endnoteReference w:id="50"/>
      </w:r>
      <w:r w:rsidRPr="00C444CE">
        <w:t xml:space="preserve"> The Declaration provides that indigenous people</w:t>
      </w:r>
      <w:r w:rsidR="006C0C31">
        <w:t>s</w:t>
      </w:r>
      <w:r w:rsidRPr="00C444CE">
        <w:t xml:space="preserve"> have the right to</w:t>
      </w:r>
      <w:r w:rsidR="00B4116F" w:rsidRPr="00C444CE">
        <w:t xml:space="preserve"> practi</w:t>
      </w:r>
      <w:r w:rsidR="00BA4E1B" w:rsidRPr="00C444CE">
        <w:t>s</w:t>
      </w:r>
      <w:r w:rsidR="00B4116F" w:rsidRPr="00C444CE">
        <w:t>e their traditions</w:t>
      </w:r>
      <w:r w:rsidR="000B4CCF" w:rsidRPr="00C444CE">
        <w:t xml:space="preserve"> and customs and maintain, control, protect and develop their cultural heritage, including significant sites</w:t>
      </w:r>
      <w:r w:rsidRPr="00C444CE">
        <w:t>.</w:t>
      </w:r>
      <w:r w:rsidRPr="00C444CE">
        <w:rPr>
          <w:vertAlign w:val="superscript"/>
        </w:rPr>
        <w:endnoteReference w:id="51"/>
      </w:r>
      <w:r w:rsidRPr="00C444CE">
        <w:t xml:space="preserve"> This aligns with tikanga</w:t>
      </w:r>
      <w:r w:rsidR="00CA2E4D" w:rsidRPr="00C444CE">
        <w:t xml:space="preserve"> M</w:t>
      </w:r>
      <w:r w:rsidR="001A61DB">
        <w:t>ā</w:t>
      </w:r>
      <w:r w:rsidR="00CA2E4D" w:rsidRPr="00C444CE">
        <w:t>ori</w:t>
      </w:r>
      <w:r w:rsidRPr="00C444CE">
        <w:t xml:space="preserve"> as well as Māori understandings of wh</w:t>
      </w:r>
      <w:r w:rsidR="001D6666" w:rsidRPr="00C444CE">
        <w:rPr>
          <w:iCs/>
        </w:rPr>
        <w:t>e</w:t>
      </w:r>
      <w:r w:rsidRPr="00C444CE">
        <w:t xml:space="preserve">nua and kaitiaki responsibilities </w:t>
      </w:r>
      <w:r w:rsidR="00F22F23" w:rsidRPr="00C444CE">
        <w:t xml:space="preserve">to </w:t>
      </w:r>
      <w:r w:rsidRPr="00C444CE">
        <w:t>Papatūānuku.</w:t>
      </w:r>
      <w:r w:rsidR="009461E8" w:rsidRPr="00C444CE">
        <w:rPr>
          <w:vertAlign w:val="superscript"/>
        </w:rPr>
        <w:endnoteReference w:id="52"/>
      </w:r>
    </w:p>
    <w:p w14:paraId="79C79FF4" w14:textId="641FADCD" w:rsidR="00705712" w:rsidRPr="00C444CE" w:rsidRDefault="00705712" w:rsidP="00EB262B">
      <w:r w:rsidRPr="00C444CE">
        <w:t>The UN Human Rights Committee has emphasised the importance of the use of land by indigenous peoples on the right to culture in a General Comment</w:t>
      </w:r>
      <w:r w:rsidRPr="00C444CE">
        <w:rPr>
          <w:vertAlign w:val="superscript"/>
        </w:rPr>
        <w:endnoteReference w:id="53"/>
      </w:r>
      <w:r w:rsidRPr="00C444CE">
        <w:t xml:space="preserve"> and when determining complaints made to it.</w:t>
      </w:r>
      <w:r w:rsidRPr="00C444CE">
        <w:rPr>
          <w:vertAlign w:val="superscript"/>
        </w:rPr>
        <w:endnoteReference w:id="54"/>
      </w:r>
      <w:r w:rsidRPr="00C444CE">
        <w:t xml:space="preserve"> The right to culture is also protected under </w:t>
      </w:r>
      <w:r w:rsidR="00D02682" w:rsidRPr="00C444CE">
        <w:t xml:space="preserve">section </w:t>
      </w:r>
      <w:r w:rsidRPr="00C444CE">
        <w:t>20 of the New Zealand Bill of Rights Act and has been considered by the New Zealand Supreme Court</w:t>
      </w:r>
      <w:r w:rsidRPr="00C444CE">
        <w:rPr>
          <w:i/>
        </w:rPr>
        <w:t>.</w:t>
      </w:r>
      <w:r w:rsidRPr="00C444CE">
        <w:rPr>
          <w:vertAlign w:val="superscript"/>
        </w:rPr>
        <w:endnoteReference w:id="55"/>
      </w:r>
      <w:r w:rsidRPr="00C444CE">
        <w:t xml:space="preserve"> </w:t>
      </w:r>
    </w:p>
    <w:p w14:paraId="7A50489A" w14:textId="10AA3D69" w:rsidR="00705712" w:rsidRPr="00C444CE" w:rsidRDefault="00705712" w:rsidP="00EB262B">
      <w:r w:rsidRPr="00C444CE">
        <w:t xml:space="preserve">Concerns have been raised recently that Māori heritage sites, such as Puketāpapa, have not been recognised </w:t>
      </w:r>
      <w:r w:rsidR="00EF566E">
        <w:t>to the same degree</w:t>
      </w:r>
      <w:r w:rsidRPr="00C444CE">
        <w:t xml:space="preserve"> as non-Māori (colonial) sites</w:t>
      </w:r>
      <w:r w:rsidR="00410410" w:rsidRPr="00C444CE">
        <w:t>.</w:t>
      </w:r>
      <w:r w:rsidRPr="00C444CE">
        <w:rPr>
          <w:rStyle w:val="EndnoteReference"/>
        </w:rPr>
        <w:endnoteReference w:id="56"/>
      </w:r>
      <w:r w:rsidRPr="00C444CE">
        <w:t xml:space="preserve"> The right to culture is non-discriminatory and indigenous peoples should have equal protection of the right to culture as non-indigenous peoples.</w:t>
      </w:r>
    </w:p>
    <w:p w14:paraId="42BA449C" w14:textId="0CAA5637" w:rsidR="00705712" w:rsidRPr="00C444CE" w:rsidRDefault="00705712" w:rsidP="00E12115">
      <w:pPr>
        <w:pStyle w:val="Heading3"/>
      </w:pPr>
      <w:bookmarkStart w:id="11" w:name="_Toc17386676"/>
      <w:r w:rsidRPr="00C444CE">
        <w:t>The Right to Protection</w:t>
      </w:r>
      <w:bookmarkEnd w:id="11"/>
    </w:p>
    <w:p w14:paraId="317D4611" w14:textId="7D2C94CE" w:rsidR="00705712" w:rsidRPr="00C444CE" w:rsidRDefault="00705712" w:rsidP="00EB262B">
      <w:r w:rsidRPr="00C444CE">
        <w:t>In order that indigenous people</w:t>
      </w:r>
      <w:r w:rsidR="006C0C31">
        <w:t>s</w:t>
      </w:r>
      <w:r w:rsidRPr="00C444CE">
        <w:t xml:space="preserve"> may enjoy their rights to land and culture, the Declaration provides th</w:t>
      </w:r>
      <w:r w:rsidR="00B15C36" w:rsidRPr="00C444CE">
        <w:t>at</w:t>
      </w:r>
      <w:r w:rsidRPr="00C444CE">
        <w:t xml:space="preserve"> States must take effective measures to recogni</w:t>
      </w:r>
      <w:r w:rsidR="00E3735E" w:rsidRPr="00C444CE">
        <w:t>s</w:t>
      </w:r>
      <w:r w:rsidRPr="00C444CE">
        <w:t>e and protect indigenous peoples</w:t>
      </w:r>
      <w:r w:rsidR="00D81050">
        <w:t>’</w:t>
      </w:r>
      <w:r w:rsidRPr="00C444CE">
        <w:t xml:space="preserve"> exercise of their rights.</w:t>
      </w:r>
      <w:r w:rsidRPr="00C444CE">
        <w:rPr>
          <w:rStyle w:val="EndnoteReference"/>
          <w:rFonts w:cstheme="minorHAnsi"/>
        </w:rPr>
        <w:endnoteReference w:id="57"/>
      </w:r>
      <w:r w:rsidR="00BC30AD" w:rsidRPr="00C444CE">
        <w:t xml:space="preserve"> This ri</w:t>
      </w:r>
      <w:r w:rsidR="00563FD7" w:rsidRPr="00C444CE">
        <w:t xml:space="preserve">ght is also found in </w:t>
      </w:r>
      <w:r w:rsidRPr="00C444CE">
        <w:t xml:space="preserve">international human rights </w:t>
      </w:r>
      <w:r w:rsidR="00563FD7" w:rsidRPr="00C444CE">
        <w:t xml:space="preserve">treaties </w:t>
      </w:r>
      <w:r w:rsidR="008D63D5">
        <w:t>ratified by</w:t>
      </w:r>
      <w:r w:rsidR="00563FD7" w:rsidRPr="00C444CE">
        <w:t xml:space="preserve"> New Zealand</w:t>
      </w:r>
      <w:r w:rsidR="008D63D5">
        <w:t>.</w:t>
      </w:r>
      <w:r w:rsidRPr="00C444CE">
        <w:rPr>
          <w:rStyle w:val="EndnoteReference"/>
          <w:rFonts w:cstheme="minorHAnsi"/>
        </w:rPr>
        <w:endnoteReference w:id="58"/>
      </w:r>
      <w:r w:rsidRPr="00C444CE">
        <w:t xml:space="preserve"> </w:t>
      </w:r>
    </w:p>
    <w:p w14:paraId="62E0C8E6" w14:textId="73872D4D" w:rsidR="00705712" w:rsidRPr="00C444CE" w:rsidRDefault="00705712" w:rsidP="00EB262B">
      <w:pPr>
        <w:rPr>
          <w:rFonts w:cstheme="minorHAnsi"/>
        </w:rPr>
      </w:pPr>
      <w:r w:rsidRPr="00C444CE">
        <w:rPr>
          <w:rFonts w:cstheme="minorHAnsi"/>
        </w:rPr>
        <w:lastRenderedPageBreak/>
        <w:t>The</w:t>
      </w:r>
      <w:r w:rsidR="00BA4E1B" w:rsidRPr="00C444CE">
        <w:rPr>
          <w:rFonts w:cstheme="minorHAnsi"/>
        </w:rPr>
        <w:t xml:space="preserve"> UN</w:t>
      </w:r>
      <w:r w:rsidRPr="00C444CE">
        <w:rPr>
          <w:rFonts w:cstheme="minorHAnsi"/>
        </w:rPr>
        <w:t xml:space="preserve"> Committee on Economic, Social and Cultural Rights </w:t>
      </w:r>
      <w:r w:rsidRPr="00C444CE">
        <w:t>states that governments must respect the rights of indigenous peoples to their culture and heritage and to maintain and strengthen their spiritual relationship with ancestral land indispensable to their cultural life,</w:t>
      </w:r>
      <w:r w:rsidRPr="00C444CE">
        <w:rPr>
          <w:rStyle w:val="EndnoteReference"/>
        </w:rPr>
        <w:endnoteReference w:id="59"/>
      </w:r>
      <w:r w:rsidRPr="00C444CE">
        <w:t xml:space="preserve"> </w:t>
      </w:r>
      <w:r w:rsidRPr="00C444CE">
        <w:rPr>
          <w:rFonts w:cstheme="minorHAnsi"/>
        </w:rPr>
        <w:t>including taking steps to return these lands and territories.</w:t>
      </w:r>
      <w:r w:rsidRPr="00C444CE">
        <w:rPr>
          <w:rStyle w:val="EndnoteReference"/>
        </w:rPr>
        <w:endnoteReference w:id="60"/>
      </w:r>
    </w:p>
    <w:p w14:paraId="2EA7D0BD" w14:textId="78E9333B" w:rsidR="00705712" w:rsidRPr="00C444CE" w:rsidRDefault="00705712" w:rsidP="00E12115">
      <w:pPr>
        <w:pStyle w:val="Heading3"/>
      </w:pPr>
      <w:bookmarkStart w:id="12" w:name="_Toc17386677"/>
      <w:r w:rsidRPr="00C444CE">
        <w:t>The Right to Participation</w:t>
      </w:r>
      <w:bookmarkEnd w:id="12"/>
    </w:p>
    <w:p w14:paraId="4898F23F" w14:textId="57B0298D" w:rsidR="00705712" w:rsidRPr="00C444CE" w:rsidRDefault="00705712" w:rsidP="00EB262B">
      <w:r w:rsidRPr="00C444CE">
        <w:t>The Declaration also provides that the state must consult with indigenous peoples in good faith and endeavour to obtain their consent on measures that may affect them</w:t>
      </w:r>
      <w:r w:rsidR="00112EC2" w:rsidRPr="00C444CE">
        <w:t>.</w:t>
      </w:r>
      <w:r w:rsidRPr="00C444CE">
        <w:rPr>
          <w:rStyle w:val="EndnoteReference"/>
          <w:rFonts w:cstheme="minorHAnsi"/>
        </w:rPr>
        <w:endnoteReference w:id="61"/>
      </w:r>
    </w:p>
    <w:p w14:paraId="47D05BA2" w14:textId="5DF30C75" w:rsidR="00705712" w:rsidRPr="00C444CE" w:rsidRDefault="00705712" w:rsidP="00EB262B">
      <w:pPr>
        <w:rPr>
          <w:rStyle w:val="eop"/>
          <w:rFonts w:cstheme="minorHAnsi"/>
          <w:color w:val="000000"/>
          <w:shd w:val="clear" w:color="auto" w:fill="FFFFFF"/>
        </w:rPr>
      </w:pPr>
      <w:r w:rsidRPr="00C444CE">
        <w:rPr>
          <w:rStyle w:val="eop"/>
          <w:rFonts w:cstheme="minorHAnsi"/>
          <w:color w:val="000000"/>
          <w:shd w:val="clear" w:color="auto" w:fill="FFFFFF"/>
        </w:rPr>
        <w:t>The right of indigenous people</w:t>
      </w:r>
      <w:r w:rsidR="00BA4E1B" w:rsidRPr="00C444CE">
        <w:rPr>
          <w:rStyle w:val="eop"/>
          <w:rFonts w:cstheme="minorHAnsi"/>
          <w:color w:val="000000"/>
          <w:shd w:val="clear" w:color="auto" w:fill="FFFFFF"/>
        </w:rPr>
        <w:t>s</w:t>
      </w:r>
      <w:r w:rsidRPr="00C444CE">
        <w:rPr>
          <w:rStyle w:val="eop"/>
          <w:rFonts w:cstheme="minorHAnsi"/>
          <w:color w:val="000000"/>
          <w:shd w:val="clear" w:color="auto" w:fill="FFFFFF"/>
        </w:rPr>
        <w:t xml:space="preserve"> to participation has been recognised as essential to the realisation of their human rights. EMRIP has stated that the right:</w:t>
      </w:r>
      <w:r w:rsidRPr="00C444CE">
        <w:rPr>
          <w:rStyle w:val="EndnoteReference"/>
          <w:rFonts w:cstheme="minorHAnsi"/>
        </w:rPr>
        <w:endnoteReference w:id="62"/>
      </w:r>
    </w:p>
    <w:p w14:paraId="1F583F94" w14:textId="0B9A195C" w:rsidR="00705712" w:rsidRPr="00C444CE" w:rsidRDefault="00705712" w:rsidP="00EB262B">
      <w:pPr>
        <w:pStyle w:val="Quote"/>
        <w:rPr>
          <w:rStyle w:val="eop"/>
          <w:rFonts w:cstheme="minorHAnsi"/>
          <w:color w:val="000000"/>
          <w:shd w:val="clear" w:color="auto" w:fill="FFFFFF"/>
        </w:rPr>
      </w:pPr>
      <w:r w:rsidRPr="00C444CE">
        <w:t>…forms the fundamental basis for the enjoyment of the full range of human rights…Without this foundational right, the human rights of indigenous peoples, both collective and individual, cannot be fully enjoyed.</w:t>
      </w:r>
    </w:p>
    <w:p w14:paraId="3328A695" w14:textId="6E169411" w:rsidR="00705712" w:rsidRPr="00C444CE" w:rsidRDefault="00705712" w:rsidP="00E12115">
      <w:pPr>
        <w:pStyle w:val="Heading3"/>
        <w:rPr>
          <w:shd w:val="clear" w:color="auto" w:fill="FFFFFF"/>
        </w:rPr>
      </w:pPr>
      <w:bookmarkStart w:id="13" w:name="_Toc17386678"/>
      <w:r w:rsidRPr="00C444CE">
        <w:rPr>
          <w:shd w:val="clear" w:color="auto" w:fill="FFFFFF"/>
        </w:rPr>
        <w:t xml:space="preserve">The </w:t>
      </w:r>
      <w:r w:rsidR="00944E99">
        <w:rPr>
          <w:shd w:val="clear" w:color="auto" w:fill="FFFFFF"/>
        </w:rPr>
        <w:t>R</w:t>
      </w:r>
      <w:r w:rsidRPr="00C444CE">
        <w:rPr>
          <w:shd w:val="clear" w:color="auto" w:fill="FFFFFF"/>
        </w:rPr>
        <w:t xml:space="preserve">ight to </w:t>
      </w:r>
      <w:r w:rsidR="00944E99">
        <w:rPr>
          <w:shd w:val="clear" w:color="auto" w:fill="FFFFFF"/>
        </w:rPr>
        <w:t>F</w:t>
      </w:r>
      <w:r w:rsidRPr="00C444CE">
        <w:rPr>
          <w:shd w:val="clear" w:color="auto" w:fill="FFFFFF"/>
        </w:rPr>
        <w:t xml:space="preserve">ree, </w:t>
      </w:r>
      <w:r w:rsidR="00944E99">
        <w:rPr>
          <w:shd w:val="clear" w:color="auto" w:fill="FFFFFF"/>
        </w:rPr>
        <w:t>P</w:t>
      </w:r>
      <w:r w:rsidRPr="00C444CE">
        <w:rPr>
          <w:shd w:val="clear" w:color="auto" w:fill="FFFFFF"/>
        </w:rPr>
        <w:t xml:space="preserve">rior and </w:t>
      </w:r>
      <w:r w:rsidR="00944E99">
        <w:rPr>
          <w:shd w:val="clear" w:color="auto" w:fill="FFFFFF"/>
        </w:rPr>
        <w:t>I</w:t>
      </w:r>
      <w:r w:rsidRPr="00C444CE">
        <w:rPr>
          <w:shd w:val="clear" w:color="auto" w:fill="FFFFFF"/>
        </w:rPr>
        <w:t>nformed</w:t>
      </w:r>
      <w:r w:rsidR="00944E99">
        <w:rPr>
          <w:shd w:val="clear" w:color="auto" w:fill="FFFFFF"/>
        </w:rPr>
        <w:t xml:space="preserve"> C</w:t>
      </w:r>
      <w:r w:rsidRPr="00C444CE">
        <w:rPr>
          <w:shd w:val="clear" w:color="auto" w:fill="FFFFFF"/>
        </w:rPr>
        <w:t>onsent</w:t>
      </w:r>
      <w:bookmarkEnd w:id="13"/>
    </w:p>
    <w:p w14:paraId="3740DF08" w14:textId="46C4353B" w:rsidR="00705712" w:rsidRPr="00C444CE" w:rsidRDefault="00705712" w:rsidP="00EB262B">
      <w:pPr>
        <w:rPr>
          <w:shd w:val="clear" w:color="auto" w:fill="FFFFFF"/>
        </w:rPr>
      </w:pPr>
      <w:r w:rsidRPr="00C444CE">
        <w:rPr>
          <w:shd w:val="clear" w:color="auto" w:fill="FFFFFF"/>
        </w:rPr>
        <w:t>Central to the right to participation is the right of indigenous people</w:t>
      </w:r>
      <w:r w:rsidR="006C0C31">
        <w:rPr>
          <w:shd w:val="clear" w:color="auto" w:fill="FFFFFF"/>
        </w:rPr>
        <w:t>s</w:t>
      </w:r>
      <w:r w:rsidRPr="00C444CE">
        <w:rPr>
          <w:shd w:val="clear" w:color="auto" w:fill="FFFFFF"/>
        </w:rPr>
        <w:t xml:space="preserve"> to free, prior and informed consent, one of the most important procedural principles in the Declaration</w:t>
      </w:r>
      <w:r w:rsidRPr="00041D6D">
        <w:rPr>
          <w:shd w:val="clear" w:color="auto" w:fill="FFFFFF"/>
        </w:rPr>
        <w:t>.</w:t>
      </w:r>
      <w:r w:rsidRPr="00041D6D">
        <w:rPr>
          <w:shd w:val="clear" w:color="auto" w:fill="FFFFFF"/>
          <w:vertAlign w:val="superscript"/>
        </w:rPr>
        <w:endnoteReference w:id="63"/>
      </w:r>
      <w:r w:rsidRPr="00041D6D">
        <w:rPr>
          <w:shd w:val="clear" w:color="auto" w:fill="FFFFFF"/>
        </w:rPr>
        <w:t xml:space="preserve"> It is also an issue central to the dispute at Ihumātao. The decisions regarding the zoning of the Puketāpapa plot of land to a Special Housing Area and the sale of the land to Fletcher</w:t>
      </w:r>
      <w:r w:rsidR="00CF43D4">
        <w:rPr>
          <w:shd w:val="clear" w:color="auto" w:fill="FFFFFF"/>
        </w:rPr>
        <w:t xml:space="preserve"> Building</w:t>
      </w:r>
      <w:r w:rsidRPr="00041D6D">
        <w:rPr>
          <w:shd w:val="clear" w:color="auto" w:fill="FFFFFF"/>
        </w:rPr>
        <w:t xml:space="preserve"> were both overseen by public bodies.</w:t>
      </w:r>
      <w:r w:rsidRPr="00C444CE">
        <w:rPr>
          <w:shd w:val="clear" w:color="auto" w:fill="FFFFFF"/>
        </w:rPr>
        <w:t xml:space="preserve"> </w:t>
      </w:r>
    </w:p>
    <w:p w14:paraId="0E7824EB" w14:textId="4DD0CBA6" w:rsidR="00705712" w:rsidRPr="00C444CE" w:rsidRDefault="00705712" w:rsidP="00EB262B">
      <w:pPr>
        <w:rPr>
          <w:shd w:val="clear" w:color="auto" w:fill="FFFFFF"/>
        </w:rPr>
      </w:pPr>
      <w:r w:rsidRPr="00C444CE">
        <w:rPr>
          <w:shd w:val="clear" w:color="auto" w:fill="FFFFFF"/>
        </w:rPr>
        <w:t xml:space="preserve">The </w:t>
      </w:r>
      <w:r w:rsidR="00BA4E1B" w:rsidRPr="00C444CE">
        <w:rPr>
          <w:shd w:val="clear" w:color="auto" w:fill="FFFFFF"/>
        </w:rPr>
        <w:t>U</w:t>
      </w:r>
      <w:r w:rsidR="00254345" w:rsidRPr="00C444CE">
        <w:rPr>
          <w:shd w:val="clear" w:color="auto" w:fill="FFFFFF"/>
        </w:rPr>
        <w:t xml:space="preserve">N </w:t>
      </w:r>
      <w:r w:rsidRPr="00C444CE">
        <w:rPr>
          <w:shd w:val="clear" w:color="auto" w:fill="FFFFFF"/>
        </w:rPr>
        <w:t>Committee on Economic Social and Cultural Rights has declared that</w:t>
      </w:r>
      <w:r w:rsidR="00CF43D4">
        <w:rPr>
          <w:shd w:val="clear" w:color="auto" w:fill="FFFFFF"/>
        </w:rPr>
        <w:t xml:space="preserve"> S</w:t>
      </w:r>
      <w:r w:rsidRPr="00C444CE">
        <w:rPr>
          <w:shd w:val="clear" w:color="auto" w:fill="FFFFFF"/>
        </w:rPr>
        <w:t>tates “should respect the principle of free, prior and informed consent of indigenous peoples in all matters covered by their specific rights”.</w:t>
      </w:r>
      <w:r w:rsidRPr="00C444CE">
        <w:rPr>
          <w:shd w:val="clear" w:color="auto" w:fill="FFFFFF"/>
          <w:vertAlign w:val="superscript"/>
        </w:rPr>
        <w:endnoteReference w:id="64"/>
      </w:r>
    </w:p>
    <w:p w14:paraId="3E872563" w14:textId="5E217C24" w:rsidR="00705712" w:rsidRPr="00C444CE" w:rsidRDefault="00705712" w:rsidP="00EB262B">
      <w:pPr>
        <w:rPr>
          <w:shd w:val="clear" w:color="auto" w:fill="FFFFFF"/>
        </w:rPr>
      </w:pPr>
      <w:r w:rsidRPr="00C444CE">
        <w:rPr>
          <w:shd w:val="clear" w:color="auto" w:fill="FFFFFF"/>
        </w:rPr>
        <w:t>The principle of free, prior and informed consent operates as a safeguard for the collective rights of indigenous peoples.</w:t>
      </w:r>
      <w:r w:rsidRPr="00C444CE">
        <w:rPr>
          <w:shd w:val="clear" w:color="auto" w:fill="FFFFFF"/>
          <w:vertAlign w:val="superscript"/>
        </w:rPr>
        <w:endnoteReference w:id="65"/>
      </w:r>
      <w:r w:rsidR="00543E76" w:rsidRPr="00C444CE">
        <w:rPr>
          <w:shd w:val="clear" w:color="auto" w:fill="FFFFFF"/>
        </w:rPr>
        <w:t xml:space="preserve"> It </w:t>
      </w:r>
      <w:r w:rsidRPr="00C444CE">
        <w:rPr>
          <w:shd w:val="clear" w:color="auto" w:fill="FFFFFF"/>
        </w:rPr>
        <w:t>is also an aspect of the right of indigenous peoples to self-determination. It therefore links closely to Te Tiriti principle of tino rangatiratanga</w:t>
      </w:r>
      <w:r w:rsidRPr="00C444CE">
        <w:rPr>
          <w:i/>
          <w:shd w:val="clear" w:color="auto" w:fill="FFFFFF"/>
        </w:rPr>
        <w:t>.</w:t>
      </w:r>
    </w:p>
    <w:p w14:paraId="5B178257" w14:textId="7C4684F1" w:rsidR="00705712" w:rsidRPr="00C444CE" w:rsidRDefault="00814AD1" w:rsidP="00EB262B">
      <w:pPr>
        <w:rPr>
          <w:shd w:val="clear" w:color="auto" w:fill="FFFFFF"/>
        </w:rPr>
      </w:pPr>
      <w:r w:rsidRPr="00C444CE">
        <w:rPr>
          <w:shd w:val="clear" w:color="auto" w:fill="FFFFFF"/>
        </w:rPr>
        <w:t>EMRIP ha</w:t>
      </w:r>
      <w:r w:rsidR="00120A14" w:rsidRPr="00C444CE">
        <w:rPr>
          <w:shd w:val="clear" w:color="auto" w:fill="FFFFFF"/>
        </w:rPr>
        <w:t>s</w:t>
      </w:r>
      <w:r w:rsidRPr="00C444CE">
        <w:rPr>
          <w:shd w:val="clear" w:color="auto" w:fill="FFFFFF"/>
        </w:rPr>
        <w:t xml:space="preserve"> </w:t>
      </w:r>
      <w:r w:rsidR="00B768E9" w:rsidRPr="00C444CE">
        <w:rPr>
          <w:shd w:val="clear" w:color="auto" w:fill="FFFFFF"/>
        </w:rPr>
        <w:t xml:space="preserve">provided guidance on what </w:t>
      </w:r>
      <w:r w:rsidR="00EF5265">
        <w:rPr>
          <w:shd w:val="clear" w:color="auto" w:fill="FFFFFF"/>
        </w:rPr>
        <w:t xml:space="preserve">is required of </w:t>
      </w:r>
      <w:r w:rsidR="00B768E9" w:rsidRPr="00C444CE">
        <w:rPr>
          <w:shd w:val="clear" w:color="auto" w:fill="FFFFFF"/>
        </w:rPr>
        <w:t xml:space="preserve">participation processes in order to meet the </w:t>
      </w:r>
      <w:r w:rsidR="008A468B" w:rsidRPr="00C444CE">
        <w:rPr>
          <w:shd w:val="clear" w:color="auto" w:fill="FFFFFF"/>
        </w:rPr>
        <w:t xml:space="preserve">minimum standards under the </w:t>
      </w:r>
      <w:r w:rsidR="00705712" w:rsidRPr="00C444CE">
        <w:rPr>
          <w:shd w:val="clear" w:color="auto" w:fill="FFFFFF"/>
        </w:rPr>
        <w:t>Declaration</w:t>
      </w:r>
      <w:r w:rsidR="008A468B" w:rsidRPr="00C444CE">
        <w:rPr>
          <w:shd w:val="clear" w:color="auto" w:fill="FFFFFF"/>
        </w:rPr>
        <w:t xml:space="preserve">. </w:t>
      </w:r>
      <w:r w:rsidR="00851DF5" w:rsidRPr="00C444CE">
        <w:rPr>
          <w:shd w:val="clear" w:color="auto" w:fill="FFFFFF"/>
        </w:rPr>
        <w:t>EMRIP ha</w:t>
      </w:r>
      <w:r w:rsidR="008078D5" w:rsidRPr="00C444CE">
        <w:rPr>
          <w:shd w:val="clear" w:color="auto" w:fill="FFFFFF"/>
        </w:rPr>
        <w:t>s</w:t>
      </w:r>
      <w:r w:rsidR="00851DF5" w:rsidRPr="00C444CE">
        <w:rPr>
          <w:shd w:val="clear" w:color="auto" w:fill="FFFFFF"/>
        </w:rPr>
        <w:t xml:space="preserve"> found </w:t>
      </w:r>
      <w:r w:rsidR="00314928" w:rsidRPr="00C444CE">
        <w:rPr>
          <w:shd w:val="clear" w:color="auto" w:fill="FFFFFF"/>
        </w:rPr>
        <w:t xml:space="preserve">that where </w:t>
      </w:r>
      <w:r w:rsidR="00705712" w:rsidRPr="00C444CE">
        <w:rPr>
          <w:shd w:val="clear" w:color="auto" w:fill="FFFFFF"/>
        </w:rPr>
        <w:t>disagreements</w:t>
      </w:r>
      <w:r w:rsidR="00314928" w:rsidRPr="00C444CE">
        <w:rPr>
          <w:shd w:val="clear" w:color="auto" w:fill="FFFFFF"/>
        </w:rPr>
        <w:t xml:space="preserve"> arise</w:t>
      </w:r>
      <w:r w:rsidR="00705712" w:rsidRPr="00C444CE">
        <w:rPr>
          <w:shd w:val="clear" w:color="auto" w:fill="FFFFFF"/>
        </w:rPr>
        <w:t xml:space="preserve"> within indigenous communities about whether free, prior and informed consent has been achieved</w:t>
      </w:r>
      <w:r w:rsidR="00314928" w:rsidRPr="00C444CE">
        <w:rPr>
          <w:shd w:val="clear" w:color="auto" w:fill="FFFFFF"/>
        </w:rPr>
        <w:t>, such disagreement</w:t>
      </w:r>
      <w:r w:rsidR="00BA4E1B" w:rsidRPr="00C444CE">
        <w:rPr>
          <w:shd w:val="clear" w:color="auto" w:fill="FFFFFF"/>
        </w:rPr>
        <w:t>s</w:t>
      </w:r>
      <w:r w:rsidR="00705712" w:rsidRPr="00C444CE">
        <w:rPr>
          <w:shd w:val="clear" w:color="auto" w:fill="FFFFFF"/>
        </w:rPr>
        <w:t xml:space="preserve"> should be resolved </w:t>
      </w:r>
      <w:r w:rsidR="00705712" w:rsidRPr="00C444CE">
        <w:rPr>
          <w:shd w:val="clear" w:color="auto" w:fill="FFFFFF"/>
        </w:rPr>
        <w:lastRenderedPageBreak/>
        <w:t>by the indigenous peoples themselves, in accordance with their own laws, traditions and customs</w:t>
      </w:r>
      <w:r w:rsidR="00BA4E1B" w:rsidRPr="00C444CE">
        <w:rPr>
          <w:shd w:val="clear" w:color="auto" w:fill="FFFFFF"/>
        </w:rPr>
        <w:t>,</w:t>
      </w:r>
      <w:r w:rsidR="00DF4610" w:rsidRPr="00C444CE">
        <w:rPr>
          <w:shd w:val="clear" w:color="auto" w:fill="FFFFFF"/>
        </w:rPr>
        <w:t xml:space="preserve"> and</w:t>
      </w:r>
      <w:r w:rsidR="00705712" w:rsidRPr="00C444CE">
        <w:rPr>
          <w:shd w:val="clear" w:color="auto" w:fill="FFFFFF"/>
        </w:rPr>
        <w:t xml:space="preserve"> through their own representative institutions.</w:t>
      </w:r>
      <w:r w:rsidR="00705712" w:rsidRPr="00C444CE">
        <w:rPr>
          <w:shd w:val="clear" w:color="auto" w:fill="FFFFFF"/>
          <w:vertAlign w:val="superscript"/>
        </w:rPr>
        <w:endnoteReference w:id="66"/>
      </w:r>
      <w:r w:rsidR="00705712" w:rsidRPr="00C444CE">
        <w:rPr>
          <w:shd w:val="clear" w:color="auto" w:fill="FFFFFF"/>
        </w:rPr>
        <w:t xml:space="preserve"> </w:t>
      </w:r>
    </w:p>
    <w:p w14:paraId="26FB6848" w14:textId="5A264060" w:rsidR="00705712" w:rsidRPr="00C444CE" w:rsidRDefault="00705712" w:rsidP="00EB262B">
      <w:pPr>
        <w:rPr>
          <w:shd w:val="clear" w:color="auto" w:fill="FFFFFF"/>
        </w:rPr>
      </w:pPr>
      <w:r w:rsidRPr="00C444CE">
        <w:rPr>
          <w:shd w:val="clear" w:color="auto" w:fill="FFFFFF"/>
        </w:rPr>
        <w:t>Where an activity or action might result in a breach of rights, judicial and administrative review should be available and reflect indigenous peoples’ rights in the Declaration, including their rights to self-determination and effective remedies</w:t>
      </w:r>
      <w:r w:rsidR="00226E96" w:rsidRPr="00C444CE">
        <w:rPr>
          <w:shd w:val="clear" w:color="auto" w:fill="FFFFFF"/>
        </w:rPr>
        <w:t>,</w:t>
      </w:r>
      <w:r w:rsidRPr="00C444CE">
        <w:rPr>
          <w:shd w:val="clear" w:color="auto" w:fill="FFFFFF"/>
          <w:vertAlign w:val="superscript"/>
        </w:rPr>
        <w:t xml:space="preserve"> </w:t>
      </w:r>
      <w:r w:rsidRPr="00C444CE">
        <w:rPr>
          <w:shd w:val="clear" w:color="auto" w:fill="FFFFFF"/>
        </w:rPr>
        <w:t>their rights under international law, domestic law, and their own laws, customs and protocols.</w:t>
      </w:r>
      <w:r w:rsidRPr="00C444CE">
        <w:rPr>
          <w:shd w:val="clear" w:color="auto" w:fill="FFFFFF"/>
          <w:vertAlign w:val="superscript"/>
        </w:rPr>
        <w:endnoteReference w:id="67"/>
      </w:r>
    </w:p>
    <w:p w14:paraId="6A52F6DC" w14:textId="1DE3D8D5" w:rsidR="00705712" w:rsidRPr="00C444CE" w:rsidRDefault="00705712" w:rsidP="00EB262B">
      <w:pPr>
        <w:rPr>
          <w:shd w:val="clear" w:color="auto" w:fill="FFFFFF"/>
        </w:rPr>
      </w:pPr>
      <w:r w:rsidRPr="00C444CE">
        <w:rPr>
          <w:shd w:val="clear" w:color="auto" w:fill="FFFFFF"/>
        </w:rPr>
        <w:t>This means that the Government should ensure that consultation processes are non-coercive</w:t>
      </w:r>
      <w:r w:rsidR="005F2CC2" w:rsidRPr="00C444CE">
        <w:rPr>
          <w:shd w:val="clear" w:color="auto" w:fill="FFFFFF"/>
        </w:rPr>
        <w:t xml:space="preserve">, </w:t>
      </w:r>
      <w:r w:rsidRPr="00C444CE">
        <w:rPr>
          <w:shd w:val="clear" w:color="auto" w:fill="FFFFFF"/>
        </w:rPr>
        <w:t>are designed to support consensus building within the indigenous peoples’ community and</w:t>
      </w:r>
      <w:r w:rsidR="005F2CC2" w:rsidRPr="00C444CE">
        <w:rPr>
          <w:shd w:val="clear" w:color="auto" w:fill="FFFFFF"/>
        </w:rPr>
        <w:t xml:space="preserve"> that they</w:t>
      </w:r>
      <w:r w:rsidRPr="00C444CE">
        <w:rPr>
          <w:shd w:val="clear" w:color="auto" w:fill="FFFFFF"/>
        </w:rPr>
        <w:t xml:space="preserve"> avoid practices that might cause division.</w:t>
      </w:r>
      <w:r w:rsidRPr="00C444CE">
        <w:rPr>
          <w:shd w:val="clear" w:color="auto" w:fill="FFFFFF"/>
          <w:vertAlign w:val="superscript"/>
        </w:rPr>
        <w:endnoteReference w:id="68"/>
      </w:r>
    </w:p>
    <w:p w14:paraId="0E2BE7E7" w14:textId="1ED45511" w:rsidR="00705712" w:rsidRPr="00C444CE" w:rsidRDefault="00705712" w:rsidP="00EB262B">
      <w:pPr>
        <w:rPr>
          <w:shd w:val="clear" w:color="auto" w:fill="FFFFFF"/>
        </w:rPr>
      </w:pPr>
      <w:r w:rsidRPr="00C444CE">
        <w:rPr>
          <w:shd w:val="clear" w:color="auto" w:fill="FFFFFF"/>
        </w:rPr>
        <w:t xml:space="preserve">The Government should also establish preconditions for achieving free, prior and informed consent. These preconditions should be aimed at building trust, take a good faith approach, and reflect culturally appropriate methods of negotiation and recognition and respect for </w:t>
      </w:r>
      <w:r w:rsidR="00C742AC" w:rsidRPr="00C444CE">
        <w:rPr>
          <w:shd w:val="clear" w:color="auto" w:fill="FFFFFF"/>
        </w:rPr>
        <w:t xml:space="preserve">human </w:t>
      </w:r>
      <w:r w:rsidRPr="00C444CE">
        <w:rPr>
          <w:shd w:val="clear" w:color="auto" w:fill="FFFFFF"/>
        </w:rPr>
        <w:t>rights.</w:t>
      </w:r>
      <w:r w:rsidRPr="00C444CE">
        <w:rPr>
          <w:shd w:val="clear" w:color="auto" w:fill="FFFFFF"/>
          <w:vertAlign w:val="superscript"/>
        </w:rPr>
        <w:endnoteReference w:id="69"/>
      </w:r>
      <w:r w:rsidRPr="00C444CE">
        <w:rPr>
          <w:shd w:val="clear" w:color="auto" w:fill="FFFFFF"/>
        </w:rPr>
        <w:t xml:space="preserve"> </w:t>
      </w:r>
    </w:p>
    <w:p w14:paraId="7D5EE9B2" w14:textId="032B8C2E" w:rsidR="00705712" w:rsidRPr="00C444CE" w:rsidRDefault="00705712" w:rsidP="00E12115">
      <w:pPr>
        <w:pStyle w:val="Heading3"/>
      </w:pPr>
      <w:bookmarkStart w:id="14" w:name="_Toc17386679"/>
      <w:r w:rsidRPr="00C444CE">
        <w:t>The Principle of Good Faith</w:t>
      </w:r>
      <w:bookmarkEnd w:id="14"/>
    </w:p>
    <w:p w14:paraId="209FE939" w14:textId="1236D30D" w:rsidR="00705712" w:rsidRPr="00C444CE" w:rsidRDefault="00DF4610" w:rsidP="00EB262B">
      <w:r w:rsidRPr="00C444CE">
        <w:t>EMRIP ha</w:t>
      </w:r>
      <w:r w:rsidR="00120A14" w:rsidRPr="00C444CE">
        <w:t>s</w:t>
      </w:r>
      <w:r w:rsidRPr="00C444CE">
        <w:t xml:space="preserve"> </w:t>
      </w:r>
      <w:r w:rsidR="001D1C5E" w:rsidRPr="00C444CE">
        <w:t>observed that t</w:t>
      </w:r>
      <w:r w:rsidR="00705712" w:rsidRPr="00C444CE">
        <w:t>he principle of good faith under the Declaration requires that consultations with indigenous peoples are carried out in a climate of mutual trust and transparency.</w:t>
      </w:r>
      <w:r w:rsidR="00705712" w:rsidRPr="00C444CE">
        <w:rPr>
          <w:rStyle w:val="EndnoteReference"/>
        </w:rPr>
        <w:endnoteReference w:id="70"/>
      </w:r>
      <w:r w:rsidR="00705712" w:rsidRPr="00C444CE">
        <w:t xml:space="preserve"> This is also an issue at the heart of the current dispute over the land at Puketāpapa.</w:t>
      </w:r>
    </w:p>
    <w:p w14:paraId="3D3847C0" w14:textId="76AE2313" w:rsidR="00705712" w:rsidRPr="00C444CE" w:rsidRDefault="00705712" w:rsidP="00EB262B">
      <w:r w:rsidRPr="00C444CE">
        <w:t xml:space="preserve">The Declaration provides that indigenous peoples must be given sufficient time to engage in their own decision-making process and </w:t>
      </w:r>
      <w:r w:rsidR="006F2777" w:rsidRPr="00C444CE">
        <w:t xml:space="preserve">to </w:t>
      </w:r>
      <w:r w:rsidRPr="00C444CE">
        <w:t>participate in decisions taken in a manner consistent with their cultural and social practices.</w:t>
      </w:r>
      <w:r w:rsidRPr="00C444CE">
        <w:rPr>
          <w:rStyle w:val="EndnoteReference"/>
        </w:rPr>
        <w:endnoteReference w:id="71"/>
      </w:r>
      <w:r w:rsidR="00211092">
        <w:t xml:space="preserve"> </w:t>
      </w:r>
      <w:r w:rsidR="00BA4E1B" w:rsidRPr="00C444CE">
        <w:t>T</w:t>
      </w:r>
      <w:r w:rsidRPr="00C444CE">
        <w:t>he objective of consultations should be to achieve agreement or consensus.</w:t>
      </w:r>
      <w:r w:rsidRPr="00C444CE">
        <w:rPr>
          <w:rStyle w:val="EndnoteReference"/>
          <w:rFonts w:cstheme="minorHAnsi"/>
        </w:rPr>
        <w:endnoteReference w:id="72"/>
      </w:r>
    </w:p>
    <w:p w14:paraId="3EFDE2F0" w14:textId="66C49180" w:rsidR="00705712" w:rsidRPr="00C444CE" w:rsidRDefault="00705712" w:rsidP="00EB262B">
      <w:r w:rsidRPr="00C444CE">
        <w:t>The Declaration does not envision a single moment or action but a process of dialogue and negotiation over the course of a project, from planning to implementation and follow-up.</w:t>
      </w:r>
      <w:r w:rsidRPr="00C444CE">
        <w:rPr>
          <w:rStyle w:val="EndnoteReference"/>
          <w:rFonts w:cstheme="minorHAnsi"/>
        </w:rPr>
        <w:endnoteReference w:id="73"/>
      </w:r>
    </w:p>
    <w:p w14:paraId="402DE420" w14:textId="1A3F0377" w:rsidR="00705712" w:rsidRPr="00C444CE" w:rsidRDefault="00705712" w:rsidP="00EB262B">
      <w:r w:rsidRPr="00C444CE">
        <w:t xml:space="preserve">The obligation of the </w:t>
      </w:r>
      <w:r w:rsidR="006218FE">
        <w:t>S</w:t>
      </w:r>
      <w:r w:rsidRPr="00C444CE">
        <w:t>tate under the Declaration to “consult and co-operate” with indigenous people</w:t>
      </w:r>
      <w:r w:rsidR="00B10033">
        <w:t>s</w:t>
      </w:r>
      <w:r w:rsidRPr="00C444CE">
        <w:t xml:space="preserve"> also implies th</w:t>
      </w:r>
      <w:r w:rsidR="00CC2D1F" w:rsidRPr="00C444CE">
        <w:t xml:space="preserve">at </w:t>
      </w:r>
      <w:r w:rsidR="00B10033">
        <w:t>they</w:t>
      </w:r>
      <w:r w:rsidR="00CC2D1F" w:rsidRPr="00C444CE">
        <w:t xml:space="preserve"> have the r</w:t>
      </w:r>
      <w:r w:rsidRPr="00C444CE">
        <w:t>ight to influence the outcome of decision-making</w:t>
      </w:r>
      <w:r w:rsidRPr="00C444CE">
        <w:rPr>
          <w:b/>
        </w:rPr>
        <w:t xml:space="preserve"> </w:t>
      </w:r>
      <w:r w:rsidRPr="00C444CE">
        <w:t>processes affecting them, not just the right to be involved in such processes or have their views heard.</w:t>
      </w:r>
      <w:r w:rsidRPr="00C444CE">
        <w:rPr>
          <w:rStyle w:val="EndnoteReference"/>
          <w:rFonts w:cstheme="minorHAnsi"/>
        </w:rPr>
        <w:endnoteReference w:id="74"/>
      </w:r>
      <w:r w:rsidR="006218FE">
        <w:t xml:space="preserve"> </w:t>
      </w:r>
      <w:r w:rsidRPr="00C444CE">
        <w:t xml:space="preserve">This </w:t>
      </w:r>
      <w:r w:rsidR="00001BCA" w:rsidRPr="00C444CE">
        <w:t>would sup</w:t>
      </w:r>
      <w:r w:rsidR="008E6B1B" w:rsidRPr="00C444CE">
        <w:t>port direct engagement by the Government</w:t>
      </w:r>
      <w:r w:rsidRPr="00C444CE">
        <w:t xml:space="preserve"> with all mana whenua.  Efforts should be made to include and understand the specific impacts on women, children, youth and </w:t>
      </w:r>
      <w:r w:rsidR="004C440F">
        <w:t>disabled people</w:t>
      </w:r>
      <w:r w:rsidRPr="00C444CE">
        <w:t>.</w:t>
      </w:r>
      <w:r w:rsidRPr="00C444CE">
        <w:rPr>
          <w:vertAlign w:val="superscript"/>
        </w:rPr>
        <w:endnoteReference w:id="75"/>
      </w:r>
      <w:r w:rsidRPr="00C444CE">
        <w:t xml:space="preserve"> </w:t>
      </w:r>
    </w:p>
    <w:p w14:paraId="72BA6268" w14:textId="7576D1D7" w:rsidR="00705712" w:rsidRPr="00C444CE" w:rsidRDefault="00705712" w:rsidP="00EB262B">
      <w:r w:rsidRPr="00C444CE">
        <w:lastRenderedPageBreak/>
        <w:t>The Government should also ensure that mana whenua have the resources and capacity to effectively engage in consultation processes by supporting the development of their own independent representative bodies.</w:t>
      </w:r>
      <w:r w:rsidRPr="00C444CE">
        <w:rPr>
          <w:rStyle w:val="EndnoteReference"/>
          <w:rFonts w:cstheme="minorHAnsi"/>
        </w:rPr>
        <w:endnoteReference w:id="76"/>
      </w:r>
    </w:p>
    <w:p w14:paraId="6F114DD6" w14:textId="0B98A56B" w:rsidR="00705712" w:rsidRPr="00C444CE" w:rsidRDefault="00705712" w:rsidP="007632B9">
      <w:pPr>
        <w:pStyle w:val="Heading3"/>
        <w:keepNext/>
      </w:pPr>
      <w:bookmarkStart w:id="15" w:name="_Toc17386680"/>
      <w:r w:rsidRPr="00C444CE">
        <w:t>The Right to Redress</w:t>
      </w:r>
      <w:bookmarkEnd w:id="15"/>
    </w:p>
    <w:p w14:paraId="53021CDD" w14:textId="2235149D" w:rsidR="00705712" w:rsidRPr="00C444CE" w:rsidRDefault="00705712" w:rsidP="00EB262B">
      <w:r w:rsidRPr="00C444CE">
        <w:t xml:space="preserve">The Declaration specifically provides for a right to redress where lands have been confiscated </w:t>
      </w:r>
      <w:r w:rsidR="00174F8B" w:rsidRPr="00C444CE">
        <w:t>from indigenous people</w:t>
      </w:r>
      <w:r w:rsidR="00BA4E1B" w:rsidRPr="00C444CE">
        <w:t>s</w:t>
      </w:r>
      <w:r w:rsidR="00174F8B" w:rsidRPr="00C444CE">
        <w:t xml:space="preserve"> </w:t>
      </w:r>
      <w:r w:rsidRPr="00C444CE">
        <w:t>without the</w:t>
      </w:r>
      <w:r w:rsidR="00174F8B" w:rsidRPr="00C444CE">
        <w:t>ir</w:t>
      </w:r>
      <w:r w:rsidR="005D0D79" w:rsidRPr="00C444CE">
        <w:t xml:space="preserve"> </w:t>
      </w:r>
      <w:r w:rsidRPr="00C444CE">
        <w:t>free, prior and informed consent.</w:t>
      </w:r>
      <w:r w:rsidRPr="00C444CE">
        <w:rPr>
          <w:rStyle w:val="EndnoteReference"/>
          <w:rFonts w:cstheme="minorHAnsi"/>
        </w:rPr>
        <w:endnoteReference w:id="77"/>
      </w:r>
      <w:r w:rsidRPr="00C444CE">
        <w:t xml:space="preserve"> The right to redress is one of the underlying issues in the </w:t>
      </w:r>
      <w:r w:rsidR="00174F8B" w:rsidRPr="00C444CE">
        <w:t>Ihumātao</w:t>
      </w:r>
      <w:r w:rsidRPr="00C444CE">
        <w:t xml:space="preserve"> dispute, given </w:t>
      </w:r>
      <w:r w:rsidR="00531B34">
        <w:t>the Waitangi Tribunal</w:t>
      </w:r>
      <w:r w:rsidR="004315D4">
        <w:t>’s finding</w:t>
      </w:r>
      <w:r w:rsidR="00531B34">
        <w:t xml:space="preserve"> that the</w:t>
      </w:r>
      <w:r w:rsidRPr="00C444CE">
        <w:t xml:space="preserve"> land was confiscated from mana whenua by the Crown over 150 years ago</w:t>
      </w:r>
      <w:r w:rsidR="00211092">
        <w:t>.</w:t>
      </w:r>
      <w:r w:rsidR="004315D4">
        <w:rPr>
          <w:rStyle w:val="EndnoteReference"/>
        </w:rPr>
        <w:endnoteReference w:id="78"/>
      </w:r>
    </w:p>
    <w:p w14:paraId="37443849" w14:textId="4287922F" w:rsidR="00705712" w:rsidRPr="00C444CE" w:rsidRDefault="00705712" w:rsidP="00EB262B">
      <w:r w:rsidRPr="00C444CE">
        <w:t>The right to redress has</w:t>
      </w:r>
      <w:r w:rsidR="007632B9">
        <w:t>,</w:t>
      </w:r>
      <w:r w:rsidRPr="00C444CE">
        <w:t xml:space="preserve"> of course</w:t>
      </w:r>
      <w:r w:rsidR="007632B9">
        <w:t>,</w:t>
      </w:r>
      <w:r w:rsidRPr="00C444CE">
        <w:t xml:space="preserve"> been recognised by the Waitangi Tribunal as a principle of Te Tiriti.</w:t>
      </w:r>
      <w:r w:rsidRPr="00C444CE">
        <w:rPr>
          <w:rStyle w:val="EndnoteReference"/>
          <w:rFonts w:cstheme="minorHAnsi"/>
        </w:rPr>
        <w:endnoteReference w:id="79"/>
      </w:r>
      <w:r w:rsidRPr="00C444CE">
        <w:t xml:space="preserve"> Where Māori have been disadvantaged, the principle of equity in conjunction with the principles of active protection and redress, require active measures to be taken to restore the balance.</w:t>
      </w:r>
      <w:r w:rsidRPr="00C444CE">
        <w:rPr>
          <w:rStyle w:val="EndnoteReference"/>
          <w:rFonts w:cstheme="minorHAnsi"/>
        </w:rPr>
        <w:endnoteReference w:id="80"/>
      </w:r>
      <w:r w:rsidRPr="00C444CE">
        <w:t xml:space="preserve"> </w:t>
      </w:r>
    </w:p>
    <w:p w14:paraId="350E041B" w14:textId="4BD5405B" w:rsidR="00705712" w:rsidRPr="00C444CE" w:rsidRDefault="00705712" w:rsidP="00EB262B">
      <w:r w:rsidRPr="00C444CE">
        <w:t>The Declaration states that this should be in the form of restitution (return) in the first instance</w:t>
      </w:r>
      <w:r w:rsidR="00B05BD7" w:rsidRPr="00C444CE">
        <w:t xml:space="preserve">. This mirrors the whakataukī: </w:t>
      </w:r>
      <w:r w:rsidR="00B05BD7" w:rsidRPr="00C444CE">
        <w:rPr>
          <w:i/>
        </w:rPr>
        <w:t>I riro whenua atu, me hoki whenua mai</w:t>
      </w:r>
      <w:r w:rsidR="00B05BD7" w:rsidRPr="00C444CE">
        <w:t xml:space="preserve"> - where land is taken, land must be returned.</w:t>
      </w:r>
      <w:r w:rsidRPr="00C444CE">
        <w:t xml:space="preserve"> </w:t>
      </w:r>
      <w:r w:rsidR="00B05BD7" w:rsidRPr="00C444CE">
        <w:t>W</w:t>
      </w:r>
      <w:r w:rsidRPr="00C444CE">
        <w:t>hen this is not possible</w:t>
      </w:r>
      <w:r w:rsidR="00BA4E1B" w:rsidRPr="00C444CE">
        <w:t>,</w:t>
      </w:r>
      <w:r w:rsidRPr="00C444CE">
        <w:t xml:space="preserve"> </w:t>
      </w:r>
      <w:r w:rsidR="00B05BD7" w:rsidRPr="00C444CE">
        <w:t xml:space="preserve">the Declaration promotes </w:t>
      </w:r>
      <w:r w:rsidRPr="00C444CE">
        <w:t>just, fair and equitable compensation.</w:t>
      </w:r>
      <w:r w:rsidRPr="743A6D93">
        <w:rPr>
          <w:rStyle w:val="EndnoteReference"/>
          <w:rFonts w:cstheme="minorBidi"/>
        </w:rPr>
        <w:endnoteReference w:id="81"/>
      </w:r>
      <w:r w:rsidRPr="00C444CE">
        <w:t xml:space="preserve"> </w:t>
      </w:r>
    </w:p>
    <w:p w14:paraId="6ACE50B3" w14:textId="469FF43B" w:rsidR="00705712" w:rsidRPr="00C444CE" w:rsidRDefault="00705712" w:rsidP="00EB262B">
      <w:r w:rsidRPr="00C444CE">
        <w:rPr>
          <w:snapToGrid w:val="0"/>
        </w:rPr>
        <w:t xml:space="preserve">The right to restitution of land back to indigenous peoples from third parties has been upheld internationally. This includes the </w:t>
      </w:r>
      <w:r w:rsidR="0074771E" w:rsidRPr="0074771E">
        <w:rPr>
          <w:snapToGrid w:val="0"/>
        </w:rPr>
        <w:t>UN Human Rights Committee</w:t>
      </w:r>
      <w:r w:rsidR="0074771E">
        <w:rPr>
          <w:snapToGrid w:val="0"/>
        </w:rPr>
        <w:t>,</w:t>
      </w:r>
      <w:r w:rsidR="0074771E" w:rsidRPr="0074771E">
        <w:rPr>
          <w:snapToGrid w:val="0"/>
          <w:vertAlign w:val="superscript"/>
        </w:rPr>
        <w:endnoteReference w:id="82"/>
      </w:r>
      <w:r w:rsidR="0074771E" w:rsidRPr="0074771E">
        <w:rPr>
          <w:snapToGrid w:val="0"/>
        </w:rPr>
        <w:t xml:space="preserve"> </w:t>
      </w:r>
      <w:r w:rsidRPr="00C444CE">
        <w:rPr>
          <w:snapToGrid w:val="0"/>
        </w:rPr>
        <w:t xml:space="preserve"> </w:t>
      </w:r>
      <w:r w:rsidR="0074771E">
        <w:rPr>
          <w:snapToGrid w:val="0"/>
        </w:rPr>
        <w:t xml:space="preserve">the </w:t>
      </w:r>
      <w:r w:rsidRPr="00C444CE">
        <w:rPr>
          <w:noProof/>
        </w:rPr>
        <w:t>Inter-American Court of Human Rights</w:t>
      </w:r>
      <w:r w:rsidRPr="00C444CE">
        <w:rPr>
          <w:rStyle w:val="EndnoteReference"/>
          <w:rFonts w:cstheme="minorHAnsi"/>
          <w:snapToGrid w:val="0"/>
          <w:color w:val="000000"/>
        </w:rPr>
        <w:endnoteReference w:id="83"/>
      </w:r>
      <w:r w:rsidR="0078763A" w:rsidRPr="00C444CE">
        <w:rPr>
          <w:noProof/>
        </w:rPr>
        <w:t xml:space="preserve"> </w:t>
      </w:r>
      <w:r w:rsidR="00541FCE">
        <w:rPr>
          <w:noProof/>
        </w:rPr>
        <w:t xml:space="preserve">and </w:t>
      </w:r>
      <w:r w:rsidRPr="00C444CE">
        <w:t>the African Commission on Human and Peoples’ Rights.</w:t>
      </w:r>
      <w:r w:rsidRPr="00C444CE">
        <w:rPr>
          <w:rStyle w:val="EndnoteReference"/>
          <w:rFonts w:cstheme="minorHAnsi"/>
        </w:rPr>
        <w:endnoteReference w:id="84"/>
      </w:r>
      <w:r w:rsidRPr="00C444CE">
        <w:t xml:space="preserve"> The </w:t>
      </w:r>
      <w:r w:rsidR="00BA4E1B" w:rsidRPr="00C444CE">
        <w:t xml:space="preserve">UN </w:t>
      </w:r>
      <w:r w:rsidRPr="00C444CE">
        <w:t xml:space="preserve">Committee on the Elimination of Racial Discrimination has also found that only when restitution is </w:t>
      </w:r>
      <w:r w:rsidR="00541FCE">
        <w:t xml:space="preserve">not </w:t>
      </w:r>
      <w:r w:rsidRPr="00C444CE">
        <w:t>poss</w:t>
      </w:r>
      <w:r w:rsidR="00541FCE">
        <w:t>ible</w:t>
      </w:r>
      <w:r w:rsidRPr="00C444CE">
        <w:t xml:space="preserve"> should </w:t>
      </w:r>
      <w:r w:rsidR="00541FCE">
        <w:t xml:space="preserve">it </w:t>
      </w:r>
      <w:r w:rsidRPr="00C444CE">
        <w:t>be substituted by other forms of compensation.</w:t>
      </w:r>
      <w:r w:rsidRPr="00C444CE">
        <w:rPr>
          <w:vertAlign w:val="superscript"/>
        </w:rPr>
        <w:endnoteReference w:id="85"/>
      </w:r>
      <w:r w:rsidRPr="00C444CE">
        <w:t xml:space="preserve"> </w:t>
      </w:r>
      <w:r w:rsidRPr="00C444CE">
        <w:rPr>
          <w:rFonts w:cstheme="minorHAnsi"/>
        </w:rPr>
        <w:t>EMRIP has provided guidance on redress including:</w:t>
      </w:r>
    </w:p>
    <w:p w14:paraId="0A60EA47" w14:textId="59A41EB7" w:rsidR="00705712" w:rsidRPr="00C444CE" w:rsidRDefault="00705712" w:rsidP="00EB262B">
      <w:pPr>
        <w:pStyle w:val="ListParagraph"/>
        <w:numPr>
          <w:ilvl w:val="0"/>
          <w:numId w:val="3"/>
        </w:numPr>
      </w:pPr>
      <w:r w:rsidRPr="00C444CE">
        <w:t>States should ensure that, when relevant, indigenous peoples are provided with redress, which may include restitution.</w:t>
      </w:r>
      <w:r w:rsidRPr="00C444CE">
        <w:rPr>
          <w:rStyle w:val="EndnoteReference"/>
          <w:rFonts w:cstheme="minorHAnsi"/>
        </w:rPr>
        <w:endnoteReference w:id="86"/>
      </w:r>
    </w:p>
    <w:p w14:paraId="43085A78" w14:textId="2A86C4D5" w:rsidR="00705712" w:rsidRPr="00C444CE" w:rsidRDefault="00705712" w:rsidP="00EB262B">
      <w:pPr>
        <w:pStyle w:val="ListParagraph"/>
        <w:numPr>
          <w:ilvl w:val="0"/>
          <w:numId w:val="3"/>
        </w:numPr>
      </w:pPr>
      <w:r w:rsidRPr="00C444CE">
        <w:t>States should ensure that indigenous peoples whose land has been confiscated are entitled to restitution or other appropriate redress for land taken, occupied or damaged without consent.</w:t>
      </w:r>
      <w:r w:rsidRPr="00C444CE">
        <w:rPr>
          <w:rStyle w:val="EndnoteReference"/>
          <w:rFonts w:cstheme="minorHAnsi"/>
        </w:rPr>
        <w:endnoteReference w:id="87"/>
      </w:r>
    </w:p>
    <w:p w14:paraId="0F39E72A" w14:textId="50990BE1" w:rsidR="00705712" w:rsidRPr="00C444CE" w:rsidRDefault="00705712" w:rsidP="00EB262B">
      <w:r w:rsidRPr="00C444CE">
        <w:t>If follows</w:t>
      </w:r>
      <w:r w:rsidR="006727B7">
        <w:t xml:space="preserve"> </w:t>
      </w:r>
      <w:r w:rsidR="0052170B">
        <w:t xml:space="preserve">from the recognition </w:t>
      </w:r>
      <w:r w:rsidR="00E26784">
        <w:t xml:space="preserve">that the Government </w:t>
      </w:r>
      <w:r w:rsidR="006727B7">
        <w:t xml:space="preserve">confiscated the land at </w:t>
      </w:r>
      <w:r w:rsidR="006727B7" w:rsidRPr="006727B7">
        <w:t>Ihumātao</w:t>
      </w:r>
      <w:r w:rsidR="006727B7">
        <w:t>,</w:t>
      </w:r>
      <w:r w:rsidR="006727B7" w:rsidRPr="006727B7">
        <w:t xml:space="preserve"> </w:t>
      </w:r>
      <w:r w:rsidRPr="00C444CE">
        <w:t xml:space="preserve">that the Government has an obligation to ensure that the outcome of the </w:t>
      </w:r>
      <w:r w:rsidR="00E56A2B" w:rsidRPr="00C444CE">
        <w:lastRenderedPageBreak/>
        <w:t xml:space="preserve">Ihumātao </w:t>
      </w:r>
      <w:r w:rsidRPr="00C444CE">
        <w:t>dispute provides mana whenua with redress that reflects human rights principle</w:t>
      </w:r>
      <w:r w:rsidR="00FA6030" w:rsidRPr="00C444CE">
        <w:t xml:space="preserve">s and </w:t>
      </w:r>
      <w:r w:rsidRPr="00C444CE">
        <w:t>protect</w:t>
      </w:r>
      <w:r w:rsidR="00FA6030" w:rsidRPr="00C444CE">
        <w:t>s</w:t>
      </w:r>
      <w:r w:rsidRPr="00C444CE">
        <w:t xml:space="preserve"> their </w:t>
      </w:r>
      <w:r w:rsidR="00B05BD7" w:rsidRPr="00C444CE">
        <w:t>k</w:t>
      </w:r>
      <w:r w:rsidRPr="00C444CE">
        <w:t>aitiakitanga rights as guardians of the land.</w:t>
      </w:r>
    </w:p>
    <w:p w14:paraId="4C779E2A" w14:textId="6980C96D" w:rsidR="00705712" w:rsidRPr="00C444CE" w:rsidRDefault="004041D6" w:rsidP="008426A0">
      <w:pPr>
        <w:pStyle w:val="Heading3"/>
        <w:keepNext/>
      </w:pPr>
      <w:bookmarkStart w:id="16" w:name="_Toc17386681"/>
      <w:r w:rsidRPr="004041D6">
        <w:t>Fair, Independent, Impartial, Open and Transparent Processes</w:t>
      </w:r>
      <w:bookmarkEnd w:id="16"/>
    </w:p>
    <w:p w14:paraId="752126BF" w14:textId="35C3199E" w:rsidR="00705712" w:rsidRPr="00C444CE" w:rsidRDefault="00705712" w:rsidP="00EB262B">
      <w:r w:rsidRPr="00C444CE">
        <w:t>The processes used to designate the land at Puketāpapa as a Special Housing Area and the subsequent sale to Fletcher</w:t>
      </w:r>
      <w:r w:rsidR="005F50B9">
        <w:t xml:space="preserve"> Building</w:t>
      </w:r>
      <w:r w:rsidRPr="00C444CE">
        <w:t xml:space="preserve">, as well as the judicial decisions that related to them, were significant factors leading to the current situation at </w:t>
      </w:r>
      <w:r w:rsidR="00EE2722" w:rsidRPr="00C444CE">
        <w:t>Ihumātao</w:t>
      </w:r>
      <w:r w:rsidRPr="00C444CE">
        <w:t xml:space="preserve">. </w:t>
      </w:r>
    </w:p>
    <w:p w14:paraId="512D5633" w14:textId="696495F6" w:rsidR="00705712" w:rsidRPr="00C444CE" w:rsidRDefault="00705712" w:rsidP="00EB262B">
      <w:r w:rsidRPr="00C444CE">
        <w:t>Under the Declaration, States are expected to establish and implement</w:t>
      </w:r>
      <w:r w:rsidR="00227499" w:rsidRPr="00C444CE">
        <w:t xml:space="preserve"> - </w:t>
      </w:r>
      <w:r w:rsidRPr="00C444CE">
        <w:t>in conjunction with indigenous peoples</w:t>
      </w:r>
      <w:r w:rsidR="00227499" w:rsidRPr="00C444CE">
        <w:t xml:space="preserve"> - </w:t>
      </w:r>
      <w:r w:rsidRPr="00C444CE">
        <w:t>fair, independent, impartial, open and transparent process</w:t>
      </w:r>
      <w:r w:rsidR="00227499" w:rsidRPr="00C444CE">
        <w:t>es for re</w:t>
      </w:r>
      <w:r w:rsidR="00401A0D" w:rsidRPr="00C444CE">
        <w:t xml:space="preserve">solving issues </w:t>
      </w:r>
      <w:r w:rsidR="006A429D" w:rsidRPr="00C444CE">
        <w:t xml:space="preserve">that affect the </w:t>
      </w:r>
      <w:r w:rsidRPr="00C444CE">
        <w:t>rights of indigenous peoples</w:t>
      </w:r>
      <w:r w:rsidR="006A429D" w:rsidRPr="00C444CE">
        <w:t xml:space="preserve">, </w:t>
      </w:r>
      <w:r w:rsidRPr="00C444CE">
        <w:t xml:space="preserve">including </w:t>
      </w:r>
      <w:r w:rsidR="006A429D" w:rsidRPr="00C444CE">
        <w:t xml:space="preserve">issues regarding </w:t>
      </w:r>
      <w:r w:rsidRPr="00C444CE">
        <w:t>land traditionally owned or otherwise occupied or used</w:t>
      </w:r>
      <w:r w:rsidR="006A429D" w:rsidRPr="00C444CE">
        <w:t xml:space="preserve"> by indigenous people. Such processes should give due recognition to </w:t>
      </w:r>
      <w:r w:rsidR="00E005D6" w:rsidRPr="00C444CE">
        <w:t>the laws, traditions and customs of indigenous people.</w:t>
      </w:r>
      <w:r w:rsidRPr="00C444CE">
        <w:rPr>
          <w:rStyle w:val="EndnoteReference"/>
        </w:rPr>
        <w:endnoteReference w:id="88"/>
      </w:r>
    </w:p>
    <w:p w14:paraId="5512D6CF" w14:textId="6E2E7113" w:rsidR="00705712" w:rsidRPr="00C444CE" w:rsidRDefault="00705712" w:rsidP="00EB262B">
      <w:r w:rsidRPr="00C444CE">
        <w:t>EMRIP prepared a study on access to justice in the promotion and protection of the rights of indigenous peoples.</w:t>
      </w:r>
      <w:r w:rsidRPr="00C444CE">
        <w:rPr>
          <w:rStyle w:val="EndnoteReference"/>
        </w:rPr>
        <w:endnoteReference w:id="89"/>
      </w:r>
      <w:r w:rsidRPr="00C444CE">
        <w:t xml:space="preserve"> EMRIP considered that long-standing historical injustices and discrimination in relation to colonisation and dispossession of lands are an affront to rights. If left unremedied, these factors </w:t>
      </w:r>
      <w:r w:rsidR="00516C87">
        <w:t xml:space="preserve">created </w:t>
      </w:r>
      <w:r w:rsidRPr="00C444CE">
        <w:t>further mistrust between indigenous people</w:t>
      </w:r>
      <w:r w:rsidR="00BA4E1B" w:rsidRPr="00C444CE">
        <w:t>s</w:t>
      </w:r>
      <w:r w:rsidRPr="00C444CE">
        <w:t xml:space="preserve"> and the State.</w:t>
      </w:r>
      <w:r w:rsidRPr="00C444CE">
        <w:rPr>
          <w:rStyle w:val="EndnoteReference"/>
        </w:rPr>
        <w:endnoteReference w:id="90"/>
      </w:r>
    </w:p>
    <w:p w14:paraId="28FA5B39" w14:textId="2DA68D50" w:rsidR="00705712" w:rsidRPr="00C444CE" w:rsidRDefault="00705712" w:rsidP="00EB262B">
      <w:r w:rsidRPr="00C444CE">
        <w:t xml:space="preserve">The study also recognised the contribution that historical injustices can have on </w:t>
      </w:r>
      <w:r w:rsidR="00B80C59">
        <w:t xml:space="preserve">the </w:t>
      </w:r>
      <w:r w:rsidRPr="00C444CE">
        <w:t xml:space="preserve">contemporary disadvantage of indigenous peoples and </w:t>
      </w:r>
      <w:r w:rsidR="00077DB2">
        <w:t xml:space="preserve">it </w:t>
      </w:r>
      <w:r w:rsidRPr="00C444CE">
        <w:t>encouraged States to consider the impact that law and policy has on indigenous peoples</w:t>
      </w:r>
      <w:r w:rsidR="00BA4E1B" w:rsidRPr="00C444CE">
        <w:t>’</w:t>
      </w:r>
      <w:r w:rsidRPr="00C444CE">
        <w:t xml:space="preserve"> ability to access processes and reform as well as the full enjoyment of their rights.</w:t>
      </w:r>
      <w:r w:rsidRPr="00C444CE">
        <w:rPr>
          <w:rStyle w:val="EndnoteReference"/>
        </w:rPr>
        <w:endnoteReference w:id="91"/>
      </w:r>
    </w:p>
    <w:p w14:paraId="25933704" w14:textId="5CF9C41B" w:rsidR="00705712" w:rsidRPr="00C444CE" w:rsidRDefault="00705712" w:rsidP="00EB262B">
      <w:pPr>
        <w:rPr>
          <w:b/>
        </w:rPr>
      </w:pPr>
      <w:r w:rsidRPr="00C444CE">
        <w:t>In summary, the Government has an obligation to guarantee mana whenua with access to justice in respect of any claims they have regarding their dispossessed lands. This right to access justice should apply regardless of whether the land is in public or private ownership</w:t>
      </w:r>
      <w:r w:rsidR="00E666FE" w:rsidRPr="00C444CE">
        <w:t xml:space="preserve"> and should recognise and respect </w:t>
      </w:r>
      <w:r w:rsidR="00533E9A" w:rsidRPr="00C444CE">
        <w:t>indigenous laws and processes</w:t>
      </w:r>
      <w:r w:rsidRPr="00C444CE">
        <w:t>.</w:t>
      </w:r>
      <w:r w:rsidRPr="00C444CE">
        <w:rPr>
          <w:bCs/>
          <w:vertAlign w:val="superscript"/>
        </w:rPr>
        <w:endnoteReference w:id="92"/>
      </w:r>
      <w:r w:rsidRPr="00C444CE">
        <w:rPr>
          <w:b/>
        </w:rPr>
        <w:t xml:space="preserve"> </w:t>
      </w:r>
    </w:p>
    <w:p w14:paraId="2495CF51" w14:textId="499FE83B" w:rsidR="00705712" w:rsidRPr="00C444CE" w:rsidRDefault="004041D6" w:rsidP="00E12115">
      <w:pPr>
        <w:pStyle w:val="Heading3"/>
      </w:pPr>
      <w:bookmarkStart w:id="17" w:name="_Toc17386682"/>
      <w:r w:rsidRPr="004041D6">
        <w:t>International Principles of Business and Human Rights</w:t>
      </w:r>
      <w:bookmarkEnd w:id="17"/>
    </w:p>
    <w:p w14:paraId="223F1C69" w14:textId="36E060C3" w:rsidR="00705712" w:rsidRPr="00C444CE" w:rsidRDefault="00CB69B5" w:rsidP="00EB262B">
      <w:r w:rsidRPr="00C444CE">
        <w:t xml:space="preserve">Ihumātao </w:t>
      </w:r>
      <w:r w:rsidR="00705712" w:rsidRPr="00C444CE">
        <w:t>also raises issues of corporate responsibility and human rights. The United Nations Guiding Principles (</w:t>
      </w:r>
      <w:r w:rsidR="00AB35D5" w:rsidRPr="00C444CE">
        <w:t>UN Guiding Principles</w:t>
      </w:r>
      <w:r w:rsidR="00705712" w:rsidRPr="00C444CE">
        <w:t xml:space="preserve">) on Business and Human Rights are a set of non-binding principles which have been endorsed by the </w:t>
      </w:r>
      <w:r w:rsidR="00BA4E1B" w:rsidRPr="00C444CE">
        <w:t xml:space="preserve">UN </w:t>
      </w:r>
      <w:r w:rsidR="00705712" w:rsidRPr="00C444CE">
        <w:t>Human Rights Council. The</w:t>
      </w:r>
      <w:r w:rsidR="00B15C36" w:rsidRPr="00C444CE">
        <w:t xml:space="preserve">y establish a minimum, modest </w:t>
      </w:r>
      <w:r w:rsidR="00C742AC" w:rsidRPr="00C444CE">
        <w:t xml:space="preserve">threshold </w:t>
      </w:r>
      <w:r w:rsidR="00B15C36" w:rsidRPr="00C444CE">
        <w:t>of human rights principles</w:t>
      </w:r>
      <w:r w:rsidR="00705712" w:rsidRPr="00C444CE">
        <w:t xml:space="preserve"> designed</w:t>
      </w:r>
      <w:r w:rsidR="00B15C36" w:rsidRPr="00C444CE">
        <w:t xml:space="preserve"> to</w:t>
      </w:r>
      <w:r w:rsidR="00705712" w:rsidRPr="00C444CE">
        <w:t xml:space="preserve"> provide guidance to businesses and governments. The </w:t>
      </w:r>
      <w:r w:rsidR="008B3B6A">
        <w:lastRenderedPageBreak/>
        <w:t>UN Guiding Principles</w:t>
      </w:r>
      <w:r w:rsidR="00705712" w:rsidRPr="00C444CE">
        <w:t xml:space="preserve"> are built around the following three pillars known as the Protect, Respect and Remedy framework:</w:t>
      </w:r>
    </w:p>
    <w:p w14:paraId="6A31B4A5" w14:textId="77777777" w:rsidR="00705712" w:rsidRPr="00C444CE" w:rsidRDefault="00705712" w:rsidP="00EB262B">
      <w:pPr>
        <w:pStyle w:val="ListParagraph"/>
        <w:numPr>
          <w:ilvl w:val="0"/>
          <w:numId w:val="3"/>
        </w:numPr>
      </w:pPr>
      <w:r w:rsidRPr="00C444CE">
        <w:t xml:space="preserve">The State duty to </w:t>
      </w:r>
      <w:r w:rsidRPr="00C444CE">
        <w:rPr>
          <w:b/>
        </w:rPr>
        <w:t xml:space="preserve">protect </w:t>
      </w:r>
      <w:r w:rsidRPr="00C444CE">
        <w:t>human rights</w:t>
      </w:r>
    </w:p>
    <w:p w14:paraId="0FEC093E" w14:textId="77777777" w:rsidR="00705712" w:rsidRPr="00C444CE" w:rsidRDefault="00705712" w:rsidP="00EB262B">
      <w:pPr>
        <w:pStyle w:val="ListParagraph"/>
        <w:numPr>
          <w:ilvl w:val="0"/>
          <w:numId w:val="3"/>
        </w:numPr>
      </w:pPr>
      <w:r w:rsidRPr="00C444CE">
        <w:t>The corporate responsibility to</w:t>
      </w:r>
      <w:r w:rsidRPr="00C444CE">
        <w:rPr>
          <w:b/>
        </w:rPr>
        <w:t xml:space="preserve"> respect</w:t>
      </w:r>
      <w:r w:rsidRPr="00C444CE">
        <w:t xml:space="preserve"> human rights</w:t>
      </w:r>
    </w:p>
    <w:p w14:paraId="6D2B4731" w14:textId="77777777" w:rsidR="00705712" w:rsidRPr="00C444CE" w:rsidRDefault="00705712" w:rsidP="00EB262B">
      <w:pPr>
        <w:pStyle w:val="ListParagraph"/>
        <w:numPr>
          <w:ilvl w:val="0"/>
          <w:numId w:val="3"/>
        </w:numPr>
      </w:pPr>
      <w:r w:rsidRPr="00C444CE">
        <w:t xml:space="preserve">The need for rights and obligations to be matched to appropriate and effective </w:t>
      </w:r>
      <w:r w:rsidRPr="00C444CE">
        <w:rPr>
          <w:b/>
        </w:rPr>
        <w:t>remedies</w:t>
      </w:r>
      <w:r w:rsidRPr="00C444CE">
        <w:t xml:space="preserve"> when breached.</w:t>
      </w:r>
      <w:r w:rsidRPr="00C444CE">
        <w:rPr>
          <w:rStyle w:val="EndnoteReference"/>
          <w:rFonts w:cstheme="minorHAnsi"/>
        </w:rPr>
        <w:endnoteReference w:id="93"/>
      </w:r>
    </w:p>
    <w:p w14:paraId="2093B7F0" w14:textId="52C6F891" w:rsidR="00834C86" w:rsidRPr="00C444CE" w:rsidRDefault="00705712" w:rsidP="00EB262B">
      <w:r w:rsidRPr="00C444CE">
        <w:t xml:space="preserve">In addition to the </w:t>
      </w:r>
      <w:r w:rsidR="006C3B48" w:rsidRPr="00C444CE">
        <w:t>UN Guiding Principles</w:t>
      </w:r>
      <w:r w:rsidRPr="00C444CE">
        <w:t>, the UN Global Compact, which is the world’s largest corporate sustainability initiative</w:t>
      </w:r>
      <w:r w:rsidR="00F145F3" w:rsidRPr="00C444CE">
        <w:t>,</w:t>
      </w:r>
      <w:r w:rsidRPr="00C444CE">
        <w:rPr>
          <w:vertAlign w:val="superscript"/>
        </w:rPr>
        <w:endnoteReference w:id="94"/>
      </w:r>
      <w:r w:rsidR="00F145F3" w:rsidRPr="00C444CE">
        <w:t xml:space="preserve"> </w:t>
      </w:r>
      <w:r w:rsidRPr="00C444CE">
        <w:t xml:space="preserve">has developed a Practice Note for how businesses </w:t>
      </w:r>
      <w:r w:rsidR="00BB731A">
        <w:t xml:space="preserve">should </w:t>
      </w:r>
      <w:r w:rsidRPr="00C444CE">
        <w:t>obtain free, prior and informed consent from indigenous peoples.</w:t>
      </w:r>
      <w:r w:rsidRPr="00C444CE">
        <w:rPr>
          <w:vertAlign w:val="superscript"/>
        </w:rPr>
        <w:endnoteReference w:id="95"/>
      </w:r>
      <w:r w:rsidRPr="00C444CE">
        <w:rPr>
          <w:vertAlign w:val="superscript"/>
        </w:rPr>
        <w:t xml:space="preserve"> </w:t>
      </w:r>
      <w:r w:rsidRPr="00C444CE">
        <w:t>The Practice Note states that companies should conduct an analysis of lands and resources that indigenous people</w:t>
      </w:r>
      <w:r w:rsidR="00B10033">
        <w:t>s</w:t>
      </w:r>
      <w:r w:rsidRPr="00C444CE">
        <w:t xml:space="preserve"> have traditionally controlled or used.</w:t>
      </w:r>
      <w:r w:rsidRPr="00C444CE">
        <w:rPr>
          <w:vertAlign w:val="superscript"/>
        </w:rPr>
        <w:endnoteReference w:id="96"/>
      </w:r>
      <w:r w:rsidRPr="00C444CE">
        <w:t> It further states that in order to obtain consent that is free, prior and informed, companies must engage in meaningful, good faith consultations with indigenous people</w:t>
      </w:r>
      <w:r w:rsidR="00BA4E1B" w:rsidRPr="00C444CE">
        <w:t>s</w:t>
      </w:r>
      <w:r w:rsidRPr="00C444CE">
        <w:t>. </w:t>
      </w:r>
    </w:p>
    <w:p w14:paraId="45670EA5" w14:textId="1F66D6F3" w:rsidR="00705712" w:rsidRPr="00C444CE" w:rsidRDefault="00754907" w:rsidP="00EB262B">
      <w:r w:rsidRPr="00C444CE">
        <w:t>EMRIP ha</w:t>
      </w:r>
      <w:r w:rsidR="00E97D04">
        <w:t>s</w:t>
      </w:r>
      <w:r w:rsidRPr="00C444CE">
        <w:t xml:space="preserve"> also provided guidance on this issue, </w:t>
      </w:r>
      <w:r w:rsidR="00603F02" w:rsidRPr="00C444CE">
        <w:t xml:space="preserve">noting that States are responsible for ensuring the adequacy of consultation and consent </w:t>
      </w:r>
      <w:r w:rsidR="00712049" w:rsidRPr="00C444CE">
        <w:t>procedures between indigenous peoples and private companies.</w:t>
      </w:r>
      <w:r w:rsidR="00712049" w:rsidRPr="00C444CE">
        <w:rPr>
          <w:rStyle w:val="EndnoteReference"/>
        </w:rPr>
        <w:endnoteReference w:id="97"/>
      </w:r>
      <w:r w:rsidR="00BF55C5" w:rsidRPr="00C444CE">
        <w:t xml:space="preserve"> To this end, EMRIP ha</w:t>
      </w:r>
      <w:r w:rsidR="00120A14" w:rsidRPr="00C444CE">
        <w:t>s</w:t>
      </w:r>
      <w:r w:rsidR="00BF55C5" w:rsidRPr="00C444CE">
        <w:t xml:space="preserve"> found that States should establish procedures for regulating</w:t>
      </w:r>
      <w:r w:rsidR="00B77496" w:rsidRPr="00C444CE">
        <w:t>, verifying and monitoring such consultation processes.</w:t>
      </w:r>
      <w:r w:rsidR="00B77496" w:rsidRPr="00C444CE">
        <w:rPr>
          <w:rStyle w:val="EndnoteReference"/>
        </w:rPr>
        <w:endnoteReference w:id="98"/>
      </w:r>
    </w:p>
    <w:p w14:paraId="144142EB" w14:textId="1151E11E" w:rsidR="00705712" w:rsidRPr="00C444CE" w:rsidRDefault="00705712" w:rsidP="00EB262B">
      <w:r w:rsidRPr="00C444CE">
        <w:t xml:space="preserve">The Government has agreed to initiate a National Plan of Action on the </w:t>
      </w:r>
      <w:r w:rsidR="006C3B48" w:rsidRPr="00C444CE">
        <w:t>UN Guiding Principles</w:t>
      </w:r>
      <w:r w:rsidR="00F145F3" w:rsidRPr="00C444CE">
        <w:t>.</w:t>
      </w:r>
      <w:r w:rsidR="00B81850" w:rsidRPr="00C444CE">
        <w:rPr>
          <w:rStyle w:val="EndnoteReference"/>
        </w:rPr>
        <w:endnoteReference w:id="99"/>
      </w:r>
      <w:r w:rsidRPr="00C444CE">
        <w:t xml:space="preserve"> </w:t>
      </w:r>
      <w:r w:rsidR="00E67B7E" w:rsidRPr="00C444CE">
        <w:t xml:space="preserve">This </w:t>
      </w:r>
      <w:r w:rsidR="00F254E3" w:rsidRPr="00C444CE">
        <w:t xml:space="preserve">initiative </w:t>
      </w:r>
      <w:r w:rsidR="001D1046" w:rsidRPr="00C444CE">
        <w:t>will</w:t>
      </w:r>
      <w:r w:rsidR="00F254E3" w:rsidRPr="00C444CE">
        <w:t xml:space="preserve"> be an important measure</w:t>
      </w:r>
      <w:r w:rsidR="00982C7E" w:rsidRPr="00C444CE">
        <w:t xml:space="preserve"> towards</w:t>
      </w:r>
      <w:r w:rsidR="001D1046" w:rsidRPr="00C444CE">
        <w:t xml:space="preserve"> </w:t>
      </w:r>
      <w:r w:rsidR="001E7AE6" w:rsidRPr="00C444CE">
        <w:t xml:space="preserve">promoting </w:t>
      </w:r>
      <w:r w:rsidR="00845E94" w:rsidRPr="00C444CE">
        <w:t xml:space="preserve">best </w:t>
      </w:r>
      <w:r w:rsidRPr="00C444CE">
        <w:t>practice</w:t>
      </w:r>
      <w:r w:rsidR="001A6642" w:rsidRPr="00C444CE">
        <w:t xml:space="preserve"> approaches </w:t>
      </w:r>
      <w:r w:rsidR="00BA4E1B" w:rsidRPr="00C444CE">
        <w:t xml:space="preserve">to </w:t>
      </w:r>
      <w:r w:rsidR="001F3CBC" w:rsidRPr="00C444CE">
        <w:t>human rights</w:t>
      </w:r>
      <w:r w:rsidR="001E7AE6" w:rsidRPr="00C444CE">
        <w:t xml:space="preserve"> among the business community</w:t>
      </w:r>
      <w:r w:rsidRPr="00C444CE">
        <w:t>.</w:t>
      </w:r>
      <w:r w:rsidR="00533E9A" w:rsidRPr="00C444CE">
        <w:t xml:space="preserve"> </w:t>
      </w:r>
    </w:p>
    <w:p w14:paraId="08130390" w14:textId="77777777" w:rsidR="00E12115" w:rsidRPr="00C444CE" w:rsidRDefault="00E12115">
      <w:pPr>
        <w:spacing w:line="259" w:lineRule="auto"/>
        <w:jc w:val="left"/>
        <w:rPr>
          <w:rFonts w:eastAsiaTheme="majorEastAsia"/>
          <w:b/>
          <w:bCs/>
          <w:color w:val="762123"/>
          <w:sz w:val="32"/>
          <w:szCs w:val="32"/>
        </w:rPr>
      </w:pPr>
      <w:r w:rsidRPr="00C444CE">
        <w:br w:type="page"/>
      </w:r>
    </w:p>
    <w:p w14:paraId="338FFCEA" w14:textId="1ECBB608" w:rsidR="00705712" w:rsidRPr="00C444CE" w:rsidRDefault="00705712" w:rsidP="00EB262B">
      <w:pPr>
        <w:pStyle w:val="Heading1"/>
      </w:pPr>
      <w:bookmarkStart w:id="18" w:name="_Toc17386683"/>
      <w:r w:rsidRPr="00C444CE">
        <w:lastRenderedPageBreak/>
        <w:t>Application of a human rights approach to Ihumātao</w:t>
      </w:r>
      <w:bookmarkEnd w:id="18"/>
    </w:p>
    <w:p w14:paraId="6F0BF8A5" w14:textId="043E41C0" w:rsidR="00705712" w:rsidRPr="00C444CE" w:rsidRDefault="00705712" w:rsidP="00EB262B">
      <w:r w:rsidRPr="00C444CE">
        <w:t xml:space="preserve">The human rights principles set out in the </w:t>
      </w:r>
      <w:r w:rsidR="00C742AC" w:rsidRPr="00C444CE">
        <w:t xml:space="preserve">United Nations </w:t>
      </w:r>
      <w:r w:rsidRPr="00C444CE">
        <w:t>Declaration</w:t>
      </w:r>
      <w:r w:rsidR="00C742AC" w:rsidRPr="00C444CE">
        <w:t xml:space="preserve"> on the Rights of Indigenous Peoples</w:t>
      </w:r>
      <w:r w:rsidRPr="00C444CE">
        <w:t xml:space="preserve"> resonate throughout the Ihumātao dispute.</w:t>
      </w:r>
      <w:r w:rsidR="008C036D" w:rsidRPr="00C444CE">
        <w:t xml:space="preserve"> </w:t>
      </w:r>
      <w:r w:rsidR="00D634D0" w:rsidRPr="00C444CE">
        <w:t>They help us understand the human rights implications of past events</w:t>
      </w:r>
      <w:r w:rsidRPr="00C444CE">
        <w:t>. They reinforce trad</w:t>
      </w:r>
      <w:r w:rsidR="00660FE7" w:rsidRPr="00C444CE">
        <w:t>i</w:t>
      </w:r>
      <w:r w:rsidRPr="00C444CE">
        <w:t xml:space="preserve">tional Te Ao Māori values and concepts that apply to the land, its guardianship and its cultural and spiritual significance for mana whenua. </w:t>
      </w:r>
    </w:p>
    <w:p w14:paraId="172AD39C" w14:textId="77777777" w:rsidR="00C173F0" w:rsidRPr="00C444CE" w:rsidRDefault="00C173F0" w:rsidP="00C173F0">
      <w:r w:rsidRPr="00C444CE">
        <w:t>In summary, the Declaration provides a</w:t>
      </w:r>
      <w:r>
        <w:t xml:space="preserve"> </w:t>
      </w:r>
      <w:r w:rsidRPr="00C444CE">
        <w:t>helpful lens through which the situation at Ihumātao can be viewed, including:</w:t>
      </w:r>
    </w:p>
    <w:p w14:paraId="6104D0F3" w14:textId="77777777" w:rsidR="00C173F0" w:rsidRPr="00C444CE" w:rsidRDefault="00C173F0" w:rsidP="00C173F0">
      <w:pPr>
        <w:pStyle w:val="ListParagraph"/>
        <w:numPr>
          <w:ilvl w:val="0"/>
          <w:numId w:val="6"/>
        </w:numPr>
      </w:pPr>
      <w:r w:rsidRPr="00C444CE">
        <w:t xml:space="preserve">Whether there are adequate legal protections or avenues to ensure that land of considerable cultural and heritage value to mana whenua is </w:t>
      </w:r>
      <w:r>
        <w:t xml:space="preserve">adequately </w:t>
      </w:r>
      <w:r w:rsidRPr="00C444CE">
        <w:t>protected.</w:t>
      </w:r>
    </w:p>
    <w:p w14:paraId="10D0ECD9" w14:textId="77777777" w:rsidR="00C173F0" w:rsidRPr="00C444CE" w:rsidRDefault="00C173F0" w:rsidP="00C173F0">
      <w:pPr>
        <w:pStyle w:val="ListParagraph"/>
        <w:numPr>
          <w:ilvl w:val="0"/>
          <w:numId w:val="6"/>
        </w:numPr>
      </w:pPr>
      <w:r w:rsidRPr="00C444CE">
        <w:t xml:space="preserve">The nature and extent of consultation regarding decisions to approve the housing development under the Special Housing Act and the </w:t>
      </w:r>
      <w:r>
        <w:t xml:space="preserve">unavailability of a legal process </w:t>
      </w:r>
      <w:r w:rsidRPr="00C444CE">
        <w:t>to challenge the decision.</w:t>
      </w:r>
    </w:p>
    <w:p w14:paraId="3A1AE9E5" w14:textId="77777777" w:rsidR="00C173F0" w:rsidRPr="00C444CE" w:rsidRDefault="00C173F0" w:rsidP="00C173F0">
      <w:pPr>
        <w:pStyle w:val="ListParagraph"/>
        <w:numPr>
          <w:ilvl w:val="0"/>
          <w:numId w:val="6"/>
        </w:numPr>
      </w:pPr>
      <w:r w:rsidRPr="00C444CE">
        <w:t>The nature and extent of consultation regarding decisions to develop the land, particularly negotiations with Fletcher</w:t>
      </w:r>
      <w:r>
        <w:t xml:space="preserve"> Building</w:t>
      </w:r>
      <w:r w:rsidRPr="00C444CE">
        <w:t>.</w:t>
      </w:r>
    </w:p>
    <w:p w14:paraId="358BBE59" w14:textId="77777777" w:rsidR="00C173F0" w:rsidRPr="00C444CE" w:rsidRDefault="00C173F0" w:rsidP="00C173F0">
      <w:pPr>
        <w:pStyle w:val="ListParagraph"/>
        <w:numPr>
          <w:ilvl w:val="0"/>
          <w:numId w:val="6"/>
        </w:numPr>
      </w:pPr>
      <w:r w:rsidRPr="00C444CE">
        <w:t xml:space="preserve">The nature and extent of discussions about resolving the current situation and finding an appropriate way forward. </w:t>
      </w:r>
    </w:p>
    <w:p w14:paraId="4D123319" w14:textId="77777777" w:rsidR="00C173F0" w:rsidRPr="00C444CE" w:rsidRDefault="00C173F0" w:rsidP="00C173F0">
      <w:pPr>
        <w:pStyle w:val="ListParagraph"/>
        <w:numPr>
          <w:ilvl w:val="0"/>
          <w:numId w:val="6"/>
        </w:numPr>
      </w:pPr>
      <w:r w:rsidRPr="00C444CE">
        <w:t>Whether previous processes have enabled all mana whenua affected by the housing development to properly participate.</w:t>
      </w:r>
    </w:p>
    <w:p w14:paraId="4E3F2CF5" w14:textId="77777777" w:rsidR="00C173F0" w:rsidRDefault="00C173F0" w:rsidP="00C173F0">
      <w:pPr>
        <w:pStyle w:val="ListParagraph"/>
        <w:numPr>
          <w:ilvl w:val="0"/>
          <w:numId w:val="6"/>
        </w:numPr>
      </w:pPr>
      <w:r>
        <w:t>T</w:t>
      </w:r>
      <w:r w:rsidRPr="00C444CE">
        <w:t>he extent to which mana whenua have been able to have</w:t>
      </w:r>
      <w:r>
        <w:t xml:space="preserve"> a</w:t>
      </w:r>
      <w:r w:rsidRPr="00C444CE">
        <w:t xml:space="preserve"> meaningful say on </w:t>
      </w:r>
      <w:r>
        <w:t xml:space="preserve">the </w:t>
      </w:r>
      <w:r w:rsidRPr="00C444CE">
        <w:t xml:space="preserve">outcome of decisions, including the ability to influence </w:t>
      </w:r>
      <w:r>
        <w:t xml:space="preserve">the </w:t>
      </w:r>
      <w:r w:rsidRPr="00C444CE">
        <w:t>outcomes and be decision makers.</w:t>
      </w:r>
    </w:p>
    <w:p w14:paraId="68AC9BE7" w14:textId="77777777" w:rsidR="00C173F0" w:rsidRDefault="00C173F0" w:rsidP="00C173F0">
      <w:pPr>
        <w:pStyle w:val="ListParagraph"/>
        <w:numPr>
          <w:ilvl w:val="0"/>
          <w:numId w:val="6"/>
        </w:numPr>
      </w:pPr>
      <w:r w:rsidRPr="00C444CE">
        <w:t>Whether the current processes have been designed to support consensus.</w:t>
      </w:r>
    </w:p>
    <w:p w14:paraId="05A82AF4" w14:textId="10F531A9" w:rsidR="00705712" w:rsidRPr="00C444CE" w:rsidRDefault="00705712" w:rsidP="00EB262B">
      <w:r w:rsidRPr="00C444CE">
        <w:t xml:space="preserve">The Declaration also provides a </w:t>
      </w:r>
      <w:r w:rsidR="00BA4E1B" w:rsidRPr="00C444CE">
        <w:t xml:space="preserve">compelling and constructive </w:t>
      </w:r>
      <w:r w:rsidRPr="00C444CE">
        <w:t>framework to address the current dispute and work towards a solution that respects and upholds the rights of all parties</w:t>
      </w:r>
      <w:r w:rsidR="000A324C" w:rsidRPr="00C444CE">
        <w:t xml:space="preserve">. </w:t>
      </w:r>
      <w:r w:rsidR="00B756D7">
        <w:t>The Commission</w:t>
      </w:r>
      <w:r w:rsidR="007706AF" w:rsidRPr="00C444CE">
        <w:t xml:space="preserve"> </w:t>
      </w:r>
      <w:r w:rsidR="0056210E" w:rsidRPr="00C444CE">
        <w:t>encourage</w:t>
      </w:r>
      <w:r w:rsidR="000D29AA">
        <w:t>s</w:t>
      </w:r>
      <w:r w:rsidR="0056210E" w:rsidRPr="00C444CE">
        <w:t xml:space="preserve"> </w:t>
      </w:r>
      <w:r w:rsidR="006E7023" w:rsidRPr="00C444CE">
        <w:t xml:space="preserve">all </w:t>
      </w:r>
      <w:r w:rsidR="0056210E" w:rsidRPr="00C444CE">
        <w:t>parties</w:t>
      </w:r>
      <w:r w:rsidR="006E7023" w:rsidRPr="00C444CE">
        <w:t>, including public decision-makers,</w:t>
      </w:r>
      <w:r w:rsidR="0056210E" w:rsidRPr="00C444CE">
        <w:t xml:space="preserve"> to use</w:t>
      </w:r>
      <w:r w:rsidR="007706AF" w:rsidRPr="00C444CE">
        <w:t xml:space="preserve"> the Declaration as a </w:t>
      </w:r>
      <w:r w:rsidR="00BA4E1B" w:rsidRPr="00C444CE">
        <w:t xml:space="preserve">vital </w:t>
      </w:r>
      <w:r w:rsidR="007706AF" w:rsidRPr="00C444CE">
        <w:t xml:space="preserve">reference point in their efforts towards </w:t>
      </w:r>
      <w:r w:rsidR="0056210E" w:rsidRPr="00C444CE">
        <w:t>reaching a solution.</w:t>
      </w:r>
    </w:p>
    <w:p w14:paraId="12F31416" w14:textId="3DC69C26" w:rsidR="00705712" w:rsidRPr="00C444CE" w:rsidRDefault="00B756D7" w:rsidP="00EB262B">
      <w:r>
        <w:t>The Commission</w:t>
      </w:r>
      <w:r w:rsidR="00705712" w:rsidRPr="00C444CE">
        <w:t xml:space="preserve"> </w:t>
      </w:r>
      <w:r w:rsidR="00482605">
        <w:t>is</w:t>
      </w:r>
      <w:r w:rsidR="00705712" w:rsidRPr="00C444CE">
        <w:t xml:space="preserve"> also </w:t>
      </w:r>
      <w:r w:rsidR="00BA4E1B" w:rsidRPr="00C444CE">
        <w:t xml:space="preserve">deeply </w:t>
      </w:r>
      <w:r w:rsidR="00705712" w:rsidRPr="00C444CE">
        <w:t xml:space="preserve">concerned that lands of </w:t>
      </w:r>
      <w:r w:rsidR="00B15C36" w:rsidRPr="00C444CE">
        <w:t xml:space="preserve">significant </w:t>
      </w:r>
      <w:r w:rsidR="00705712" w:rsidRPr="00C444CE">
        <w:t xml:space="preserve">heritage value to </w:t>
      </w:r>
      <w:r w:rsidR="004B1B5F" w:rsidRPr="00C444CE">
        <w:t xml:space="preserve">Māori </w:t>
      </w:r>
      <w:r w:rsidR="00705712" w:rsidRPr="00C444CE">
        <w:t xml:space="preserve">are adequately protected. </w:t>
      </w:r>
      <w:r w:rsidR="000A324C" w:rsidRPr="00C444CE">
        <w:t xml:space="preserve"> </w:t>
      </w:r>
      <w:r w:rsidR="00705712" w:rsidRPr="00C444CE">
        <w:t>The cultural significance</w:t>
      </w:r>
      <w:r w:rsidR="004B1B5F" w:rsidRPr="00C444CE">
        <w:t xml:space="preserve"> of</w:t>
      </w:r>
      <w:r w:rsidR="00705712" w:rsidRPr="00C444CE">
        <w:t xml:space="preserve"> Ihumātao for mana </w:t>
      </w:r>
      <w:r w:rsidR="00705712" w:rsidRPr="00C444CE">
        <w:lastRenderedPageBreak/>
        <w:t>whenua, tangata whenua - and indeed all New Zealanders</w:t>
      </w:r>
      <w:r w:rsidR="00254345" w:rsidRPr="00C444CE">
        <w:t xml:space="preserve"> -</w:t>
      </w:r>
      <w:r w:rsidR="00BA4E1B" w:rsidRPr="00C444CE">
        <w:t xml:space="preserve"> must not be underestimated.</w:t>
      </w:r>
    </w:p>
    <w:p w14:paraId="794C0183" w14:textId="281E713F" w:rsidR="00E12115" w:rsidRPr="00C444CE" w:rsidRDefault="00705712" w:rsidP="00E12115">
      <w:r w:rsidRPr="00C444CE">
        <w:t>The importance of this land arises from its archaeological history as an early Māori settlement, where the first Māori gardeners lived and worked</w:t>
      </w:r>
      <w:r w:rsidR="00D36F06" w:rsidRPr="00C444CE">
        <w:t>,</w:t>
      </w:r>
      <w:r w:rsidRPr="00C444CE">
        <w:t xml:space="preserve"> using the stones and the microclimates they created to grow their crops. It is also one of the last surviving places where the land and stone walls used by Māori for growing new crops</w:t>
      </w:r>
      <w:r w:rsidR="00201B57" w:rsidRPr="00C444CE">
        <w:t>,</w:t>
      </w:r>
      <w:r w:rsidRPr="00C444CE">
        <w:t xml:space="preserve"> such as </w:t>
      </w:r>
      <w:r w:rsidR="00201B57" w:rsidRPr="00C444CE">
        <w:t xml:space="preserve">the </w:t>
      </w:r>
      <w:r w:rsidRPr="00C444CE">
        <w:t xml:space="preserve">wheat and European vegetables </w:t>
      </w:r>
      <w:r w:rsidR="00EF755B" w:rsidRPr="00C444CE">
        <w:t>that were cultivated and supplied to</w:t>
      </w:r>
      <w:r w:rsidRPr="00C444CE">
        <w:t xml:space="preserve"> the Auckland markets prior to 1863, still exist. The land is connected to one of New Zealand’s oldest continuously inhabited papak</w:t>
      </w:r>
      <w:r w:rsidR="00F63421" w:rsidRPr="00C444CE">
        <w:t>ā</w:t>
      </w:r>
      <w:r w:rsidRPr="00C444CE">
        <w:t>inga. Despite not having possession of the land, mana whenua at Ihumātao</w:t>
      </w:r>
      <w:r w:rsidRPr="00C444CE">
        <w:rPr>
          <w:bCs/>
        </w:rPr>
        <w:t xml:space="preserve"> </w:t>
      </w:r>
      <w:r w:rsidRPr="00C444CE">
        <w:t>have maintained a close physical and spiritual connection to the area and continue to demonstrate that connection through their current residence on the land at Ihumātao.</w:t>
      </w:r>
    </w:p>
    <w:p w14:paraId="56C288C3" w14:textId="3ED48055" w:rsidR="00705712" w:rsidRPr="00C444CE" w:rsidRDefault="00705712" w:rsidP="00E12115">
      <w:pPr>
        <w:pStyle w:val="Heading1"/>
      </w:pPr>
      <w:bookmarkStart w:id="19" w:name="_Toc17386684"/>
      <w:r w:rsidRPr="00C444CE">
        <w:t>Scrutiny by the international human rights system</w:t>
      </w:r>
      <w:bookmarkEnd w:id="19"/>
    </w:p>
    <w:p w14:paraId="76B87163" w14:textId="2940B0EC" w:rsidR="00705712" w:rsidRPr="00C444CE" w:rsidRDefault="00705712" w:rsidP="00E12115">
      <w:r w:rsidRPr="00C444CE">
        <w:t xml:space="preserve">It is also significant that the human rights situation at Ihumātao has been scrutinised - and is currently being scrutinised - by international human rights bodies. In recent years, United Nations </w:t>
      </w:r>
      <w:r w:rsidR="00BA4E1B" w:rsidRPr="00C444CE">
        <w:t>t</w:t>
      </w:r>
      <w:r w:rsidRPr="00C444CE">
        <w:t>reaty bodies have made recommendations to the New Zealand Government aimed at strengthening compliance with indigenous human rights, particularly free, prior and informed consent in development activities. For example, in 2018 the UN </w:t>
      </w:r>
      <w:r w:rsidR="006D68F5">
        <w:t xml:space="preserve">Committee on </w:t>
      </w:r>
      <w:r w:rsidRPr="00C444CE">
        <w:t>Economic Social and</w:t>
      </w:r>
      <w:r w:rsidR="00E12115" w:rsidRPr="00C444CE">
        <w:t xml:space="preserve"> </w:t>
      </w:r>
      <w:r w:rsidRPr="00C444CE">
        <w:t>Cultural Rights</w:t>
      </w:r>
      <w:r w:rsidR="00E12115" w:rsidRPr="00C444CE">
        <w:t xml:space="preserve"> </w:t>
      </w:r>
      <w:r w:rsidRPr="00C444CE">
        <w:t>recommended that the Government: </w:t>
      </w:r>
    </w:p>
    <w:p w14:paraId="484E4DA4" w14:textId="01695341" w:rsidR="00705712" w:rsidRPr="00C444CE" w:rsidRDefault="00705712" w:rsidP="00E12115">
      <w:pPr>
        <w:pStyle w:val="Quote"/>
      </w:pPr>
      <w:r w:rsidRPr="00C444CE">
        <w:t>“Take effective measures to ensure compliance with the requirement of obtaining the free, prior and informed consent of indigenous peoples, notably in the context of extractive and development activities, and conduct social, environmental and human rights impact assessments prior to granting licences for extractive and development activities and during operations</w:t>
      </w:r>
      <w:r w:rsidR="00541FCE">
        <w:t>.</w:t>
      </w:r>
      <w:r w:rsidR="00C31D5A">
        <w:t>”</w:t>
      </w:r>
    </w:p>
    <w:p w14:paraId="0B961B4C" w14:textId="1C2D7826" w:rsidR="00705712" w:rsidRPr="00C444CE" w:rsidRDefault="00705712" w:rsidP="00EB262B">
      <w:r w:rsidRPr="00C444CE">
        <w:t>In 2017 the </w:t>
      </w:r>
      <w:r w:rsidR="00F95B6E">
        <w:t xml:space="preserve">UN </w:t>
      </w:r>
      <w:r w:rsidRPr="00C444CE">
        <w:t>Committee on the Elimination of Racial Discrimination also made the following recommendation after submissions from groups involved in the dispute at Ihumātao: </w:t>
      </w:r>
    </w:p>
    <w:p w14:paraId="268F0DB4" w14:textId="61E8C571" w:rsidR="00705712" w:rsidRPr="00C444CE" w:rsidRDefault="00705712" w:rsidP="00E12115">
      <w:pPr>
        <w:pStyle w:val="Quote"/>
      </w:pPr>
      <w:r w:rsidRPr="00C444CE">
        <w:t xml:space="preserve">“The Committee recommends that the State party review, in consultation with all affected Maori, the designation of Special Housing Area 62 to evaluate its conformity with the Treaty of Waitangi, the United Nations Declaration on the Rights of Indigenous Peoples and other relevant international standards, and </w:t>
      </w:r>
      <w:r w:rsidRPr="00C444CE">
        <w:lastRenderedPageBreak/>
        <w:t>that the State party obtain the free and informed consent of Maori before approving any project affecting the use and development of their traditional land and resources.” </w:t>
      </w:r>
    </w:p>
    <w:p w14:paraId="133E0E46" w14:textId="17877CAA" w:rsidR="00352730" w:rsidRPr="00C444CE" w:rsidRDefault="00705712" w:rsidP="00EB262B">
      <w:r w:rsidRPr="00C444CE">
        <w:t xml:space="preserve">Furthermore, the </w:t>
      </w:r>
      <w:r w:rsidR="00A84EBB">
        <w:t>UN</w:t>
      </w:r>
      <w:r w:rsidRPr="00C444CE">
        <w:t xml:space="preserve"> Special Rapporteurs on </w:t>
      </w:r>
      <w:r w:rsidR="00BA4E1B" w:rsidRPr="00C444CE">
        <w:t xml:space="preserve">the Right to </w:t>
      </w:r>
      <w:r w:rsidRPr="00C444CE">
        <w:t xml:space="preserve">Adequate Housing and </w:t>
      </w:r>
      <w:r w:rsidR="00BA4E1B" w:rsidRPr="00C444CE">
        <w:t xml:space="preserve">the Rights of </w:t>
      </w:r>
      <w:r w:rsidRPr="00C444CE">
        <w:t xml:space="preserve">Indigenous </w:t>
      </w:r>
      <w:r w:rsidR="00BA4E1B" w:rsidRPr="00C444CE">
        <w:t>Peoples</w:t>
      </w:r>
      <w:r w:rsidR="00BA4E1B" w:rsidRPr="00C444CE">
        <w:rPr>
          <w:vertAlign w:val="superscript"/>
        </w:rPr>
        <w:t xml:space="preserve"> </w:t>
      </w:r>
      <w:r w:rsidRPr="00C444CE">
        <w:t>recently wrote to the New Zealand Government, drawing its attention to potential human rights breaches in relation to Ihumātao and requesting that interim measures are taken so any potential breaches are halted until a response is received.</w:t>
      </w:r>
      <w:r w:rsidRPr="00C444CE">
        <w:rPr>
          <w:vertAlign w:val="superscript"/>
        </w:rPr>
        <w:endnoteReference w:id="100"/>
      </w:r>
      <w:r w:rsidRPr="00C444CE">
        <w:t xml:space="preserve"> </w:t>
      </w:r>
      <w:r w:rsidR="009978AF" w:rsidRPr="00C444CE">
        <w:t>It is notable that w</w:t>
      </w:r>
      <w:r w:rsidR="00352730" w:rsidRPr="00C444CE">
        <w:t>ithin their communication</w:t>
      </w:r>
      <w:r w:rsidR="009978AF" w:rsidRPr="00C444CE">
        <w:t xml:space="preserve">s, </w:t>
      </w:r>
      <w:r w:rsidR="00352730" w:rsidRPr="00C444CE">
        <w:t xml:space="preserve"> the Special Rapporteurs specifically raised concerns </w:t>
      </w:r>
      <w:r w:rsidR="00C742AC" w:rsidRPr="00C444CE">
        <w:t xml:space="preserve">about </w:t>
      </w:r>
      <w:r w:rsidR="00352730" w:rsidRPr="00C444CE">
        <w:t>the fast-track procedure of the Housing Accords and Special Housing Area Act 2013 and the inadequate consultations with Māori both in regard to the Act and in regard to th</w:t>
      </w:r>
      <w:r w:rsidR="00C742AC" w:rsidRPr="00C444CE">
        <w:t>e</w:t>
      </w:r>
      <w:r w:rsidR="00352730" w:rsidRPr="00C444CE">
        <w:t xml:space="preserve"> unavailability of judicial review.</w:t>
      </w:r>
    </w:p>
    <w:p w14:paraId="65FA8F59" w14:textId="75DB886F" w:rsidR="005153C3" w:rsidRPr="00C444CE" w:rsidRDefault="005153C3" w:rsidP="00EB262B">
      <w:r w:rsidRPr="00C444CE">
        <w:t>The</w:t>
      </w:r>
      <w:r w:rsidR="008D3C1C" w:rsidRPr="00C444CE">
        <w:t xml:space="preserve"> scrutiny of the</w:t>
      </w:r>
      <w:r w:rsidRPr="00C444CE">
        <w:t xml:space="preserve"> international human rights </w:t>
      </w:r>
      <w:r w:rsidR="008D3C1C" w:rsidRPr="00C444CE">
        <w:t xml:space="preserve">institutions provides another important reason for </w:t>
      </w:r>
      <w:r w:rsidR="00C27E02" w:rsidRPr="00C444CE">
        <w:t xml:space="preserve">the Government to </w:t>
      </w:r>
      <w:r w:rsidR="00BA4E1B" w:rsidRPr="00C444CE">
        <w:t xml:space="preserve">constructively </w:t>
      </w:r>
      <w:r w:rsidR="00C8112A" w:rsidRPr="00C444CE">
        <w:t>apply the Declaration in supporting parties</w:t>
      </w:r>
      <w:r w:rsidR="00E80A01" w:rsidRPr="00C444CE">
        <w:t xml:space="preserve"> to</w:t>
      </w:r>
      <w:r w:rsidR="00C8112A" w:rsidRPr="00C444CE">
        <w:t xml:space="preserve"> achieve a resolution</w:t>
      </w:r>
      <w:r w:rsidR="00E80A01" w:rsidRPr="00C444CE">
        <w:t>.</w:t>
      </w:r>
    </w:p>
    <w:p w14:paraId="2916CB06" w14:textId="77777777" w:rsidR="00E12115" w:rsidRPr="00C444CE" w:rsidRDefault="00E12115">
      <w:pPr>
        <w:spacing w:line="259" w:lineRule="auto"/>
        <w:jc w:val="left"/>
        <w:rPr>
          <w:rFonts w:eastAsiaTheme="majorEastAsia"/>
          <w:b/>
          <w:bCs/>
          <w:color w:val="762123"/>
          <w:sz w:val="32"/>
          <w:szCs w:val="32"/>
        </w:rPr>
      </w:pPr>
      <w:r w:rsidRPr="00C444CE">
        <w:br w:type="page"/>
      </w:r>
    </w:p>
    <w:p w14:paraId="441DD4F2" w14:textId="5C7C56B2" w:rsidR="00A25034" w:rsidRPr="00C444CE" w:rsidRDefault="00DF07A2" w:rsidP="00EB262B">
      <w:pPr>
        <w:pStyle w:val="Heading1"/>
      </w:pPr>
      <w:bookmarkStart w:id="20" w:name="_Toc17386685"/>
      <w:r w:rsidRPr="00C444CE">
        <w:lastRenderedPageBreak/>
        <w:t>Conclusions</w:t>
      </w:r>
      <w:bookmarkEnd w:id="20"/>
      <w:r w:rsidRPr="00C444CE">
        <w:t xml:space="preserve"> </w:t>
      </w:r>
    </w:p>
    <w:p w14:paraId="477F2F17" w14:textId="40AB9398" w:rsidR="00A25034" w:rsidRPr="00C444CE" w:rsidRDefault="00A25034" w:rsidP="00EB262B">
      <w:r w:rsidRPr="00C444CE">
        <w:t>The events at Ihumātao</w:t>
      </w:r>
      <w:r w:rsidR="00C00D89" w:rsidRPr="00C444CE">
        <w:t xml:space="preserve"> </w:t>
      </w:r>
      <w:r w:rsidR="00913D01" w:rsidRPr="00C444CE">
        <w:t>present a challenge for human rights in Aotearoa New Zealand</w:t>
      </w:r>
      <w:r w:rsidRPr="00C444CE">
        <w:t xml:space="preserve">. </w:t>
      </w:r>
      <w:r w:rsidR="007F155E">
        <w:t xml:space="preserve">In responding </w:t>
      </w:r>
      <w:r w:rsidR="00F943F7">
        <w:t>to the events,</w:t>
      </w:r>
      <w:r w:rsidR="004F786F">
        <w:t xml:space="preserve"> </w:t>
      </w:r>
      <w:r w:rsidR="00103079" w:rsidRPr="00C444CE">
        <w:t xml:space="preserve">our public and private institutions </w:t>
      </w:r>
      <w:r w:rsidR="008049AD">
        <w:t xml:space="preserve">should </w:t>
      </w:r>
      <w:r w:rsidR="00A97B96" w:rsidRPr="00C444CE">
        <w:t>uphold the rights of Māori to their land, their culture and cultural heritage</w:t>
      </w:r>
      <w:r w:rsidR="0055190B" w:rsidRPr="00C444CE">
        <w:t xml:space="preserve">, their rights to </w:t>
      </w:r>
      <w:r w:rsidR="00A97B96" w:rsidRPr="00C444CE">
        <w:t xml:space="preserve">participation and access to justice </w:t>
      </w:r>
      <w:r w:rsidRPr="00C444CE">
        <w:t xml:space="preserve">under the </w:t>
      </w:r>
      <w:r w:rsidR="00EF4CF3" w:rsidRPr="00C444CE">
        <w:t>Te Tiri</w:t>
      </w:r>
      <w:r w:rsidR="0055190B" w:rsidRPr="00C444CE">
        <w:t>ti</w:t>
      </w:r>
      <w:r w:rsidR="00377B53">
        <w:t xml:space="preserve">, the </w:t>
      </w:r>
      <w:r w:rsidRPr="00C444CE">
        <w:t xml:space="preserve">Declaration and international human rights </w:t>
      </w:r>
      <w:r w:rsidR="00EF1AE2" w:rsidRPr="00C444CE">
        <w:t xml:space="preserve">treaties </w:t>
      </w:r>
      <w:r w:rsidR="004D564E">
        <w:t>to which</w:t>
      </w:r>
      <w:r w:rsidR="00EF1AE2" w:rsidRPr="00C444CE">
        <w:t xml:space="preserve"> </w:t>
      </w:r>
      <w:r w:rsidR="006D33F8" w:rsidRPr="00C444CE">
        <w:t>New Zealand is a party</w:t>
      </w:r>
      <w:r w:rsidRPr="00C444CE">
        <w:t xml:space="preserve">. </w:t>
      </w:r>
    </w:p>
    <w:p w14:paraId="602A9D72" w14:textId="543A159B" w:rsidR="00421B0E" w:rsidRPr="00C444CE" w:rsidRDefault="00916FD7" w:rsidP="00EB262B">
      <w:r w:rsidRPr="00C444CE">
        <w:t>The Commission</w:t>
      </w:r>
      <w:r w:rsidR="0055190B" w:rsidRPr="00C444CE">
        <w:t xml:space="preserve"> is encouraged that the Government has signalled a willingness to address </w:t>
      </w:r>
      <w:r w:rsidR="006D33F8" w:rsidRPr="00C444CE">
        <w:t>the human rights impacts on Māori</w:t>
      </w:r>
      <w:r w:rsidRPr="00C444CE">
        <w:t xml:space="preserve"> </w:t>
      </w:r>
      <w:r w:rsidR="006D33F8" w:rsidRPr="00C444CE">
        <w:t>of colonisation</w:t>
      </w:r>
      <w:r w:rsidR="00D60CED" w:rsidRPr="00C444CE">
        <w:t>.</w:t>
      </w:r>
      <w:r w:rsidR="006D47FD" w:rsidRPr="00C444CE">
        <w:t xml:space="preserve"> </w:t>
      </w:r>
      <w:r w:rsidR="00D60CED" w:rsidRPr="00C444CE">
        <w:t>I</w:t>
      </w:r>
      <w:r w:rsidR="006D47FD" w:rsidRPr="00C444CE">
        <w:t xml:space="preserve">n particular </w:t>
      </w:r>
      <w:r w:rsidR="00B756D7">
        <w:t>the Commission</w:t>
      </w:r>
      <w:r w:rsidR="006D47FD" w:rsidRPr="00C444CE">
        <w:t xml:space="preserve"> note</w:t>
      </w:r>
      <w:r w:rsidR="002110A7">
        <w:t>s</w:t>
      </w:r>
      <w:r w:rsidR="006D47FD" w:rsidRPr="00C444CE">
        <w:t xml:space="preserve"> the </w:t>
      </w:r>
      <w:r w:rsidR="00F51AB5" w:rsidRPr="00C444CE">
        <w:t xml:space="preserve">recent </w:t>
      </w:r>
      <w:r w:rsidR="006D47FD" w:rsidRPr="00C444CE">
        <w:t>acknowledg</w:t>
      </w:r>
      <w:r w:rsidR="00421B0E" w:rsidRPr="00C444CE">
        <w:t>ment</w:t>
      </w:r>
      <w:r w:rsidR="006D47FD" w:rsidRPr="00C444CE">
        <w:t xml:space="preserve"> </w:t>
      </w:r>
      <w:r w:rsidR="00797FE2" w:rsidRPr="00C444CE">
        <w:t xml:space="preserve">before the UN </w:t>
      </w:r>
      <w:r w:rsidR="00D60CED" w:rsidRPr="00C444CE">
        <w:t xml:space="preserve">by </w:t>
      </w:r>
      <w:r w:rsidR="00797FE2" w:rsidRPr="00C444CE">
        <w:t xml:space="preserve">the Minister of Justice </w:t>
      </w:r>
      <w:r w:rsidR="00D60CED" w:rsidRPr="00C444CE">
        <w:t>that the impacts of colonisation continue to be felt today, through entrenched structural racism and poorer outcomes for Māori.</w:t>
      </w:r>
      <w:r w:rsidR="00F51AB5" w:rsidRPr="00C444CE">
        <w:rPr>
          <w:rStyle w:val="EndnoteReference"/>
        </w:rPr>
        <w:endnoteReference w:id="101"/>
      </w:r>
      <w:r w:rsidR="00E07461">
        <w:t xml:space="preserve"> </w:t>
      </w:r>
      <w:r w:rsidR="004D564E">
        <w:t>The Commission</w:t>
      </w:r>
      <w:r w:rsidR="00797FE2" w:rsidRPr="00C444CE">
        <w:t xml:space="preserve"> also note</w:t>
      </w:r>
      <w:r w:rsidR="009461E8">
        <w:t>s</w:t>
      </w:r>
      <w:r w:rsidR="00797FE2" w:rsidRPr="00C444CE">
        <w:t xml:space="preserve"> the commitment the Government has made to developing a </w:t>
      </w:r>
      <w:r w:rsidR="00AF7DAA" w:rsidRPr="00C444CE">
        <w:t>n</w:t>
      </w:r>
      <w:r w:rsidR="00797FE2" w:rsidRPr="00C444CE">
        <w:t xml:space="preserve">ational </w:t>
      </w:r>
      <w:r w:rsidR="00AF7DAA" w:rsidRPr="00C444CE">
        <w:t>p</w:t>
      </w:r>
      <w:r w:rsidR="00797FE2" w:rsidRPr="00C444CE">
        <w:t xml:space="preserve">lan </w:t>
      </w:r>
      <w:r w:rsidR="006F38CA" w:rsidRPr="00C444CE">
        <w:t xml:space="preserve">to align </w:t>
      </w:r>
      <w:r w:rsidR="007F3005" w:rsidRPr="00C444CE">
        <w:t>law</w:t>
      </w:r>
      <w:r w:rsidR="00DC7C81" w:rsidRPr="00C444CE">
        <w:t>, policy and practice</w:t>
      </w:r>
      <w:r w:rsidR="006F38CA" w:rsidRPr="00C444CE">
        <w:t xml:space="preserve"> with the </w:t>
      </w:r>
      <w:r w:rsidR="00797FE2" w:rsidRPr="00C444CE">
        <w:t>Declaration</w:t>
      </w:r>
      <w:r w:rsidR="007F3005" w:rsidRPr="00C444CE">
        <w:t>.</w:t>
      </w:r>
      <w:r w:rsidR="00706378" w:rsidRPr="00C444CE">
        <w:rPr>
          <w:rStyle w:val="EndnoteReference"/>
        </w:rPr>
        <w:endnoteReference w:id="102"/>
      </w:r>
      <w:r w:rsidR="00797FE2" w:rsidRPr="00C444CE">
        <w:t xml:space="preserve"> These are important steps</w:t>
      </w:r>
      <w:r w:rsidR="00421B0E" w:rsidRPr="00C444CE">
        <w:t xml:space="preserve"> towards </w:t>
      </w:r>
      <w:r w:rsidR="0044009B" w:rsidRPr="00C444CE">
        <w:t>achieving equitable</w:t>
      </w:r>
      <w:r w:rsidR="004E174D" w:rsidRPr="00C444CE">
        <w:t xml:space="preserve"> human rights outcomes </w:t>
      </w:r>
      <w:r w:rsidR="0044009B" w:rsidRPr="00C444CE">
        <w:t xml:space="preserve">for Māori and </w:t>
      </w:r>
      <w:r w:rsidR="001B41D7" w:rsidRPr="00C444CE">
        <w:t xml:space="preserve">indeed all New </w:t>
      </w:r>
      <w:r w:rsidR="00EE115C" w:rsidRPr="00C444CE">
        <w:t>Zealanders.</w:t>
      </w:r>
    </w:p>
    <w:p w14:paraId="753E63C3" w14:textId="4A242D56" w:rsidR="00A25034" w:rsidRPr="00C444CE" w:rsidRDefault="004E5319" w:rsidP="00EB262B">
      <w:r>
        <w:t>The</w:t>
      </w:r>
      <w:r w:rsidR="00A20F9F" w:rsidRPr="00C444CE">
        <w:t xml:space="preserve"> Commission recommends that the </w:t>
      </w:r>
      <w:r w:rsidR="00A25034" w:rsidRPr="00C444CE">
        <w:t xml:space="preserve">Government </w:t>
      </w:r>
      <w:r w:rsidR="00A20F9F" w:rsidRPr="00C444CE">
        <w:t xml:space="preserve">commit to </w:t>
      </w:r>
      <w:r w:rsidR="006B064E" w:rsidRPr="00C444CE">
        <w:t xml:space="preserve">supporting the parties at </w:t>
      </w:r>
      <w:r w:rsidR="006F2A68" w:rsidRPr="00C444CE">
        <w:t xml:space="preserve">Ihumātao to </w:t>
      </w:r>
      <w:r w:rsidR="00006DBE" w:rsidRPr="00C444CE">
        <w:t xml:space="preserve">work towards a solution </w:t>
      </w:r>
      <w:r w:rsidR="00261E57" w:rsidRPr="00C444CE">
        <w:t>through</w:t>
      </w:r>
      <w:r w:rsidR="00892C03" w:rsidRPr="00C444CE">
        <w:t xml:space="preserve"> promoting a</w:t>
      </w:r>
      <w:r w:rsidR="00261E57" w:rsidRPr="00C444CE">
        <w:t xml:space="preserve"> </w:t>
      </w:r>
      <w:r w:rsidR="00A25034" w:rsidRPr="00C444CE">
        <w:t>human rights-based approach</w:t>
      </w:r>
      <w:r w:rsidR="00892C03" w:rsidRPr="00C444CE">
        <w:t xml:space="preserve"> to the resolution of the dispute </w:t>
      </w:r>
      <w:r w:rsidR="00B16B55" w:rsidRPr="00C444CE">
        <w:t xml:space="preserve">in a manner </w:t>
      </w:r>
      <w:r w:rsidR="00A25034" w:rsidRPr="00C444CE">
        <w:t>consistent with New Zealand’s international human rights commitments</w:t>
      </w:r>
      <w:r w:rsidR="00261E57" w:rsidRPr="00C444CE">
        <w:t xml:space="preserve"> under the Declaration</w:t>
      </w:r>
      <w:r w:rsidR="00475B0F" w:rsidRPr="00C444CE">
        <w:t>.</w:t>
      </w:r>
      <w:r w:rsidR="00A25034" w:rsidRPr="00C444CE">
        <w:t xml:space="preserve"> </w:t>
      </w:r>
    </w:p>
    <w:p w14:paraId="7649F8CB" w14:textId="40A638AD" w:rsidR="00892C03" w:rsidRPr="00C444CE" w:rsidRDefault="00892C03" w:rsidP="00EB262B">
      <w:r w:rsidRPr="00C444CE">
        <w:t xml:space="preserve">The Commission </w:t>
      </w:r>
      <w:r w:rsidR="00E07461">
        <w:t>recommends</w:t>
      </w:r>
      <w:r w:rsidRPr="00C444CE">
        <w:t xml:space="preserve"> that this approach should </w:t>
      </w:r>
      <w:r w:rsidR="005E460F" w:rsidRPr="00C444CE">
        <w:t>contain the following elements:</w:t>
      </w:r>
    </w:p>
    <w:p w14:paraId="1D65B9A2" w14:textId="77777777" w:rsidR="006F0A5B" w:rsidRPr="006F0A5B" w:rsidRDefault="006F0A5B" w:rsidP="006F0A5B">
      <w:pPr>
        <w:pStyle w:val="Subtitle"/>
      </w:pPr>
      <w:r w:rsidRPr="006F0A5B">
        <w:t>Protection of mana whenua rights and a continuation of the current halt on development of the land while work towards a resolution is carried out.</w:t>
      </w:r>
    </w:p>
    <w:p w14:paraId="4503D16C" w14:textId="43D9267B" w:rsidR="006C36BE" w:rsidRPr="00C444CE" w:rsidRDefault="00B673D3" w:rsidP="00E12115">
      <w:pPr>
        <w:ind w:left="360"/>
        <w:rPr>
          <w:rStyle w:val="normaltextrun"/>
          <w:rFonts w:eastAsiaTheme="majorEastAsia" w:cstheme="minorHAnsi"/>
        </w:rPr>
      </w:pPr>
      <w:r w:rsidRPr="00C444CE">
        <w:rPr>
          <w:rStyle w:val="normaltextrun"/>
          <w:rFonts w:eastAsiaTheme="majorEastAsia" w:cstheme="minorHAnsi"/>
        </w:rPr>
        <w:t xml:space="preserve">While </w:t>
      </w:r>
      <w:r w:rsidR="0038422C" w:rsidRPr="00C444CE">
        <w:rPr>
          <w:rStyle w:val="normaltextrun"/>
          <w:rFonts w:eastAsiaTheme="majorEastAsia" w:cstheme="minorHAnsi"/>
        </w:rPr>
        <w:t xml:space="preserve">the </w:t>
      </w:r>
      <w:r w:rsidR="00CE69A5" w:rsidRPr="00C444CE">
        <w:t xml:space="preserve">Ihumātao dispute remains unresolved, the </w:t>
      </w:r>
      <w:r w:rsidR="004659C2" w:rsidRPr="00C444CE">
        <w:t xml:space="preserve">Commission recommends that </w:t>
      </w:r>
      <w:r w:rsidR="00CE69A5" w:rsidRPr="00C444CE">
        <w:t>the Government ensure</w:t>
      </w:r>
      <w:r w:rsidR="004659C2" w:rsidRPr="00C444CE">
        <w:t>s</w:t>
      </w:r>
      <w:r w:rsidR="00CE69A5" w:rsidRPr="00C444CE">
        <w:t xml:space="preserve"> that </w:t>
      </w:r>
      <w:r w:rsidR="00F05E74" w:rsidRPr="00C444CE">
        <w:t>the rights of mana whenua under the Declaration are protected and upheld</w:t>
      </w:r>
      <w:r w:rsidR="00376A22" w:rsidRPr="00C444CE">
        <w:t>. As such</w:t>
      </w:r>
      <w:r w:rsidR="00A6745E" w:rsidRPr="00C444CE">
        <w:t xml:space="preserve">, </w:t>
      </w:r>
      <w:r w:rsidR="00376A22" w:rsidRPr="00C444CE">
        <w:t xml:space="preserve">any developments of the </w:t>
      </w:r>
      <w:r w:rsidR="002B67A8" w:rsidRPr="00C444CE">
        <w:t xml:space="preserve">Puketāpapa site should continue to be </w:t>
      </w:r>
      <w:r w:rsidR="0050478C">
        <w:t>subject to the halt announced by the Prime Minister</w:t>
      </w:r>
      <w:r w:rsidR="002B67A8" w:rsidRPr="00C444CE">
        <w:t xml:space="preserve"> until a resolution is </w:t>
      </w:r>
      <w:r w:rsidR="00431266" w:rsidRPr="00C444CE">
        <w:t xml:space="preserve">freely and fairly </w:t>
      </w:r>
      <w:r w:rsidR="002B67A8" w:rsidRPr="00C444CE">
        <w:t xml:space="preserve">reached </w:t>
      </w:r>
      <w:r w:rsidR="00431266" w:rsidRPr="00C444CE">
        <w:t>between all parties.</w:t>
      </w:r>
    </w:p>
    <w:p w14:paraId="4168CD38" w14:textId="6146D3DA" w:rsidR="00A25034" w:rsidRPr="00C444CE" w:rsidRDefault="00A25034" w:rsidP="006F0A5B">
      <w:pPr>
        <w:pStyle w:val="Subtitle"/>
        <w:keepNext/>
        <w:ind w:left="714" w:hanging="357"/>
      </w:pPr>
      <w:r w:rsidRPr="00C444CE">
        <w:lastRenderedPageBreak/>
        <w:t>Strengthen</w:t>
      </w:r>
      <w:r w:rsidR="009602BA" w:rsidRPr="00C444CE">
        <w:t xml:space="preserve"> mana whenua</w:t>
      </w:r>
      <w:r w:rsidRPr="00C444CE">
        <w:t xml:space="preserve"> </w:t>
      </w:r>
      <w:r w:rsidR="00F66976" w:rsidRPr="00C444CE">
        <w:t xml:space="preserve">participation in all decision-making </w:t>
      </w:r>
      <w:r w:rsidRPr="00C444CE">
        <w:t xml:space="preserve">processes </w:t>
      </w:r>
      <w:r w:rsidR="00F66976" w:rsidRPr="00C444CE">
        <w:t xml:space="preserve">to enable </w:t>
      </w:r>
      <w:r w:rsidRPr="00C444CE">
        <w:t>free, prior and informed consent</w:t>
      </w:r>
    </w:p>
    <w:p w14:paraId="44B2EDFD" w14:textId="1C87A5EB" w:rsidR="00A25034" w:rsidRPr="00C444CE" w:rsidRDefault="00A25034" w:rsidP="00E12115">
      <w:pPr>
        <w:ind w:left="360"/>
      </w:pPr>
      <w:r w:rsidRPr="00C444CE">
        <w:t>At the core of free, prior and informed consent is the ability for indigenous people</w:t>
      </w:r>
      <w:r w:rsidR="00DC7C81" w:rsidRPr="00C444CE">
        <w:t>s</w:t>
      </w:r>
      <w:r w:rsidRPr="00C444CE">
        <w:t xml:space="preserve"> to not only be included</w:t>
      </w:r>
      <w:r w:rsidR="004659C2" w:rsidRPr="00C444CE">
        <w:t>,</w:t>
      </w:r>
      <w:r w:rsidRPr="00C444CE">
        <w:t xml:space="preserve"> but </w:t>
      </w:r>
      <w:r w:rsidR="00DC7C81" w:rsidRPr="00C444CE">
        <w:t xml:space="preserve">also </w:t>
      </w:r>
      <w:r w:rsidR="00DA4216" w:rsidRPr="00C444CE">
        <w:t xml:space="preserve">to </w:t>
      </w:r>
      <w:r w:rsidR="00E07461">
        <w:t>be</w:t>
      </w:r>
      <w:r w:rsidR="008A33FF">
        <w:t xml:space="preserve"> </w:t>
      </w:r>
      <w:r w:rsidRPr="00C444CE">
        <w:t>enable</w:t>
      </w:r>
      <w:r w:rsidR="008A33FF">
        <w:t>d to</w:t>
      </w:r>
      <w:r w:rsidRPr="00C444CE">
        <w:t xml:space="preserve"> them to have meaningful influence in the outcomes. In order to do this, </w:t>
      </w:r>
      <w:r w:rsidR="00742EDA" w:rsidRPr="00C444CE">
        <w:t xml:space="preserve">the </w:t>
      </w:r>
      <w:r w:rsidR="004659C2" w:rsidRPr="00C444CE">
        <w:t xml:space="preserve">Commission recommends that </w:t>
      </w:r>
      <w:r w:rsidR="00742EDA" w:rsidRPr="00C444CE">
        <w:t xml:space="preserve">the processes that are used to resolve the Ihumātao dispute fully reflect the right </w:t>
      </w:r>
      <w:r w:rsidR="0067736F" w:rsidRPr="00C444CE">
        <w:t>of mana wh</w:t>
      </w:r>
      <w:r w:rsidR="00782D18" w:rsidRPr="00C444CE">
        <w:t>e</w:t>
      </w:r>
      <w:r w:rsidR="0067736F" w:rsidRPr="00C444CE">
        <w:t>nua under the Declaration to free, prior and informed consent regarding any decisions that take place.</w:t>
      </w:r>
      <w:r w:rsidR="00346164">
        <w:t xml:space="preserve"> </w:t>
      </w:r>
      <w:r w:rsidRPr="00C444CE">
        <w:t>M</w:t>
      </w:r>
      <w:r w:rsidR="00801A38" w:rsidRPr="00C444CE">
        <w:t>ana whenua</w:t>
      </w:r>
      <w:r w:rsidRPr="00C444CE">
        <w:t xml:space="preserve"> </w:t>
      </w:r>
      <w:r w:rsidR="00113FE4" w:rsidRPr="00C444CE">
        <w:t xml:space="preserve">have the right to participate through </w:t>
      </w:r>
      <w:r w:rsidRPr="00C444CE">
        <w:t xml:space="preserve">their own representative institutions and </w:t>
      </w:r>
      <w:r w:rsidR="00346164">
        <w:t xml:space="preserve">to </w:t>
      </w:r>
      <w:r w:rsidRPr="00C444CE">
        <w:t>be involved in decision</w:t>
      </w:r>
      <w:r w:rsidR="00475114" w:rsidRPr="00C444CE">
        <w:t>-</w:t>
      </w:r>
      <w:r w:rsidRPr="00C444CE">
        <w:t>making processes from the beginning</w:t>
      </w:r>
      <w:r w:rsidR="00DC7C81" w:rsidRPr="00C444CE">
        <w:t>,</w:t>
      </w:r>
      <w:r w:rsidR="004659C2" w:rsidRPr="00C444CE">
        <w:t xml:space="preserve"> </w:t>
      </w:r>
      <w:r w:rsidRPr="00C444CE">
        <w:t xml:space="preserve">including </w:t>
      </w:r>
      <w:r w:rsidR="00475114" w:rsidRPr="00C444CE">
        <w:t>decisions on:</w:t>
      </w:r>
    </w:p>
    <w:p w14:paraId="511EE562" w14:textId="77777777" w:rsidR="00A25034" w:rsidRPr="00C444CE" w:rsidRDefault="00A25034" w:rsidP="00EB262B">
      <w:pPr>
        <w:pStyle w:val="ListParagraph"/>
        <w:numPr>
          <w:ilvl w:val="0"/>
          <w:numId w:val="13"/>
        </w:numPr>
      </w:pPr>
      <w:r w:rsidRPr="00C444CE">
        <w:t>How these consultation and negotiation processes are undertaken;</w:t>
      </w:r>
    </w:p>
    <w:p w14:paraId="2952BC04" w14:textId="77777777" w:rsidR="00A25034" w:rsidRPr="00C444CE" w:rsidRDefault="00A25034" w:rsidP="00EB262B">
      <w:pPr>
        <w:pStyle w:val="ListParagraph"/>
        <w:numPr>
          <w:ilvl w:val="0"/>
          <w:numId w:val="13"/>
        </w:numPr>
      </w:pPr>
      <w:r w:rsidRPr="00C444CE">
        <w:t>How disputes or issues can be resolved without creating further division.</w:t>
      </w:r>
    </w:p>
    <w:p w14:paraId="3C587309" w14:textId="12623970" w:rsidR="0025297A" w:rsidRPr="00C444CE" w:rsidRDefault="00A839E2" w:rsidP="00E12115">
      <w:pPr>
        <w:ind w:left="360"/>
      </w:pPr>
      <w:r w:rsidRPr="00C444CE">
        <w:t xml:space="preserve">The </w:t>
      </w:r>
      <w:r w:rsidR="004659C2" w:rsidRPr="00C444CE">
        <w:t>Commission recommends that t</w:t>
      </w:r>
      <w:r w:rsidRPr="00C444CE">
        <w:t xml:space="preserve">he </w:t>
      </w:r>
      <w:r w:rsidR="00BE1424" w:rsidRPr="00C444CE">
        <w:t xml:space="preserve">Government </w:t>
      </w:r>
      <w:r w:rsidR="00842693" w:rsidRPr="00C444CE">
        <w:t>ensure</w:t>
      </w:r>
      <w:r w:rsidR="004659C2" w:rsidRPr="00C444CE">
        <w:t>s</w:t>
      </w:r>
      <w:r w:rsidR="00842693" w:rsidRPr="00C444CE">
        <w:t xml:space="preserve"> that mana whenua</w:t>
      </w:r>
      <w:r w:rsidR="00302947">
        <w:t xml:space="preserve"> </w:t>
      </w:r>
      <w:r w:rsidR="007F4FE6" w:rsidRPr="00C444CE">
        <w:t xml:space="preserve">are </w:t>
      </w:r>
      <w:r w:rsidR="001113DB" w:rsidRPr="00C444CE">
        <w:t>provided with</w:t>
      </w:r>
      <w:r w:rsidR="00A94AAE" w:rsidRPr="00C444CE">
        <w:t xml:space="preserve"> </w:t>
      </w:r>
      <w:r w:rsidR="00AD2C94" w:rsidRPr="00C444CE">
        <w:t>sufficient</w:t>
      </w:r>
      <w:r w:rsidR="001113DB" w:rsidRPr="00C444CE">
        <w:t xml:space="preserve"> time </w:t>
      </w:r>
      <w:r w:rsidR="00AD2C94" w:rsidRPr="00C444CE">
        <w:t>and resources</w:t>
      </w:r>
      <w:r w:rsidR="0021100C" w:rsidRPr="00C444CE">
        <w:t xml:space="preserve"> </w:t>
      </w:r>
      <w:r w:rsidR="001113DB" w:rsidRPr="00C444CE">
        <w:t xml:space="preserve">to </w:t>
      </w:r>
      <w:r w:rsidR="00A94AAE" w:rsidRPr="00C444CE">
        <w:t xml:space="preserve">enable such matters to be resolved </w:t>
      </w:r>
      <w:r w:rsidR="00F3122F" w:rsidRPr="00C444CE">
        <w:t xml:space="preserve">within culturally appropriate timeframes </w:t>
      </w:r>
      <w:r w:rsidR="001A2B0F" w:rsidRPr="00C444CE">
        <w:t xml:space="preserve">that </w:t>
      </w:r>
      <w:r w:rsidR="00B13B66" w:rsidRPr="00C444CE">
        <w:t xml:space="preserve">respect </w:t>
      </w:r>
      <w:r w:rsidR="001A2B0F" w:rsidRPr="00C444CE">
        <w:t>Māori customs and practices.</w:t>
      </w:r>
    </w:p>
    <w:p w14:paraId="7A289AEC" w14:textId="355130CA" w:rsidR="00A32D1B" w:rsidRPr="00C444CE" w:rsidRDefault="00486BEE" w:rsidP="00E12115">
      <w:pPr>
        <w:ind w:left="360"/>
      </w:pPr>
      <w:r w:rsidRPr="00C444CE">
        <w:t xml:space="preserve">Ihumātao </w:t>
      </w:r>
      <w:r w:rsidR="00A32D1B" w:rsidRPr="00C444CE">
        <w:t xml:space="preserve">also highlights the way in which </w:t>
      </w:r>
      <w:r w:rsidR="00D708EB">
        <w:t>public</w:t>
      </w:r>
      <w:r w:rsidR="00A32D1B" w:rsidRPr="00C444CE">
        <w:t xml:space="preserve"> </w:t>
      </w:r>
      <w:r w:rsidR="00A32515" w:rsidRPr="00C444CE">
        <w:t>poli</w:t>
      </w:r>
      <w:r w:rsidR="00A32515">
        <w:t>cies</w:t>
      </w:r>
      <w:r w:rsidR="00F9679B">
        <w:t>, lik</w:t>
      </w:r>
      <w:r w:rsidR="00174791">
        <w:t xml:space="preserve">e </w:t>
      </w:r>
      <w:r w:rsidR="004B00ED">
        <w:t>special housing policies,</w:t>
      </w:r>
      <w:r w:rsidR="00A32515">
        <w:t xml:space="preserve"> </w:t>
      </w:r>
      <w:r w:rsidR="005D3AE7">
        <w:t xml:space="preserve">engage </w:t>
      </w:r>
      <w:r w:rsidR="00A32D1B" w:rsidRPr="00C444CE">
        <w:t>the rights and interests of Māori</w:t>
      </w:r>
      <w:r w:rsidRPr="00C444CE">
        <w:t xml:space="preserve">. </w:t>
      </w:r>
      <w:r w:rsidR="00D0069C">
        <w:t>The Commission</w:t>
      </w:r>
      <w:r w:rsidR="00B4466D" w:rsidRPr="00C444CE">
        <w:t xml:space="preserve"> encourage</w:t>
      </w:r>
      <w:r w:rsidR="00BA2E44">
        <w:t>s</w:t>
      </w:r>
      <w:r w:rsidR="00B4466D" w:rsidRPr="00C444CE">
        <w:t xml:space="preserve"> the Government to take </w:t>
      </w:r>
      <w:r w:rsidR="00D43AA7" w:rsidRPr="00C444CE">
        <w:t xml:space="preserve">action to ensure that in the future Māori rights and interests are safeguarded in all </w:t>
      </w:r>
      <w:r w:rsidR="00ED6ABF" w:rsidRPr="00C444CE">
        <w:t>decisions that impact on land of cultural, historic and spiritual significance to Māori.</w:t>
      </w:r>
    </w:p>
    <w:p w14:paraId="4FB3A6B3" w14:textId="5DC1DFB1" w:rsidR="00A25034" w:rsidRPr="00C444CE" w:rsidRDefault="0052543C" w:rsidP="00E12115">
      <w:pPr>
        <w:pStyle w:val="Subtitle"/>
        <w:rPr>
          <w:rStyle w:val="normaltextrun"/>
        </w:rPr>
      </w:pPr>
      <w:r w:rsidRPr="00C444CE">
        <w:t>Provi</w:t>
      </w:r>
      <w:r w:rsidR="00D761F5" w:rsidRPr="00C444CE">
        <w:t>sion</w:t>
      </w:r>
      <w:r w:rsidRPr="00C444CE">
        <w:t xml:space="preserve"> </w:t>
      </w:r>
      <w:r w:rsidR="00267278" w:rsidRPr="00C444CE">
        <w:t xml:space="preserve">for </w:t>
      </w:r>
      <w:r w:rsidR="00EE2862" w:rsidRPr="00C444CE">
        <w:t>redress</w:t>
      </w:r>
      <w:r w:rsidR="00DC414A" w:rsidRPr="00C444CE">
        <w:t xml:space="preserve"> </w:t>
      </w:r>
      <w:r w:rsidR="006F0A5B" w:rsidRPr="00C444CE">
        <w:rPr>
          <w:rStyle w:val="normaltextrun"/>
          <w:rFonts w:cstheme="minorHAnsi"/>
        </w:rPr>
        <w:t>in a manner consistent with human rights standards</w:t>
      </w:r>
      <w:r w:rsidR="006F0A5B">
        <w:rPr>
          <w:rStyle w:val="normaltextrun"/>
          <w:rFonts w:cstheme="minorHAnsi"/>
        </w:rPr>
        <w:t>.</w:t>
      </w:r>
    </w:p>
    <w:p w14:paraId="2F955F9A" w14:textId="5D423FB3" w:rsidR="00B27CAE" w:rsidRPr="00C444CE" w:rsidRDefault="00A25034" w:rsidP="00E12115">
      <w:pPr>
        <w:ind w:left="360"/>
        <w:rPr>
          <w:rStyle w:val="normaltextrun"/>
          <w:rFonts w:eastAsiaTheme="majorEastAsia" w:cstheme="minorHAnsi"/>
        </w:rPr>
      </w:pPr>
      <w:r w:rsidRPr="00C444CE">
        <w:rPr>
          <w:rStyle w:val="normaltextrun"/>
          <w:rFonts w:eastAsiaTheme="majorEastAsia" w:cstheme="minorHAnsi"/>
        </w:rPr>
        <w:t>The Declaration clearly envisages that the priority form of redress for the confiscation of land is restitution</w:t>
      </w:r>
      <w:r w:rsidR="00716C30" w:rsidRPr="00C444CE">
        <w:rPr>
          <w:rStyle w:val="normaltextrun"/>
          <w:rFonts w:eastAsiaTheme="majorEastAsia" w:cstheme="minorHAnsi"/>
        </w:rPr>
        <w:t>, in line with indigenous values and perspectives</w:t>
      </w:r>
      <w:r w:rsidRPr="00C444CE">
        <w:rPr>
          <w:rStyle w:val="normaltextrun"/>
          <w:rFonts w:eastAsiaTheme="majorEastAsia" w:cstheme="minorHAnsi"/>
        </w:rPr>
        <w:t xml:space="preserve">. </w:t>
      </w:r>
      <w:r w:rsidR="00B27CAE" w:rsidRPr="00C444CE">
        <w:rPr>
          <w:rStyle w:val="normaltextrun"/>
          <w:rFonts w:eastAsiaTheme="majorEastAsia" w:cstheme="minorHAnsi"/>
        </w:rPr>
        <w:t xml:space="preserve">Where this is not possible, </w:t>
      </w:r>
      <w:r w:rsidR="00F765D6" w:rsidRPr="00C444CE">
        <w:rPr>
          <w:rStyle w:val="normaltextrun"/>
          <w:rFonts w:eastAsiaTheme="majorEastAsia" w:cstheme="minorHAnsi"/>
        </w:rPr>
        <w:t xml:space="preserve">human rights principles </w:t>
      </w:r>
      <w:r w:rsidR="009336BC" w:rsidRPr="00C444CE">
        <w:rPr>
          <w:rStyle w:val="normaltextrun"/>
          <w:rFonts w:eastAsiaTheme="majorEastAsia" w:cstheme="minorHAnsi"/>
        </w:rPr>
        <w:t xml:space="preserve">call for </w:t>
      </w:r>
      <w:r w:rsidR="003E75EE" w:rsidRPr="00C444CE">
        <w:rPr>
          <w:rStyle w:val="normaltextrun"/>
          <w:rFonts w:eastAsiaTheme="majorEastAsia" w:cstheme="minorHAnsi"/>
        </w:rPr>
        <w:t>just, fair and equitable redress</w:t>
      </w:r>
      <w:r w:rsidR="00E7695A" w:rsidRPr="00C444CE">
        <w:rPr>
          <w:rStyle w:val="normaltextrun"/>
          <w:rFonts w:eastAsiaTheme="majorEastAsia" w:cstheme="minorHAnsi"/>
        </w:rPr>
        <w:t xml:space="preserve"> </w:t>
      </w:r>
      <w:r w:rsidR="0096622A" w:rsidRPr="00C444CE">
        <w:rPr>
          <w:rStyle w:val="normaltextrun"/>
          <w:rFonts w:eastAsiaTheme="majorEastAsia" w:cstheme="minorHAnsi"/>
        </w:rPr>
        <w:t xml:space="preserve">that is </w:t>
      </w:r>
      <w:r w:rsidR="00E7695A" w:rsidRPr="00C444CE">
        <w:rPr>
          <w:rStyle w:val="normaltextrun"/>
          <w:rFonts w:eastAsiaTheme="majorEastAsia" w:cstheme="minorHAnsi"/>
        </w:rPr>
        <w:t xml:space="preserve">agreed to by </w:t>
      </w:r>
      <w:r w:rsidR="00046B3D" w:rsidRPr="00C444CE">
        <w:rPr>
          <w:rStyle w:val="normaltextrun"/>
          <w:rFonts w:eastAsiaTheme="majorEastAsia" w:cstheme="minorHAnsi"/>
        </w:rPr>
        <w:t xml:space="preserve">the </w:t>
      </w:r>
      <w:r w:rsidR="00E7695A" w:rsidRPr="00C444CE">
        <w:rPr>
          <w:rStyle w:val="normaltextrun"/>
          <w:rFonts w:eastAsiaTheme="majorEastAsia" w:cstheme="minorHAnsi"/>
        </w:rPr>
        <w:t>indigen</w:t>
      </w:r>
      <w:r w:rsidR="0096622A" w:rsidRPr="00C444CE">
        <w:rPr>
          <w:rStyle w:val="normaltextrun"/>
          <w:rFonts w:eastAsiaTheme="majorEastAsia" w:cstheme="minorHAnsi"/>
        </w:rPr>
        <w:t xml:space="preserve">ous peoples whose land </w:t>
      </w:r>
      <w:r w:rsidR="00C0459F" w:rsidRPr="00C444CE">
        <w:rPr>
          <w:rStyle w:val="normaltextrun"/>
          <w:rFonts w:eastAsiaTheme="majorEastAsia" w:cstheme="minorHAnsi"/>
        </w:rPr>
        <w:t xml:space="preserve">was </w:t>
      </w:r>
      <w:r w:rsidR="0096622A" w:rsidRPr="00C444CE">
        <w:rPr>
          <w:rStyle w:val="normaltextrun"/>
          <w:rFonts w:eastAsiaTheme="majorEastAsia" w:cstheme="minorHAnsi"/>
        </w:rPr>
        <w:t>lost</w:t>
      </w:r>
      <w:r w:rsidR="00C0459F" w:rsidRPr="00C444CE">
        <w:rPr>
          <w:rStyle w:val="normaltextrun"/>
          <w:rFonts w:eastAsiaTheme="majorEastAsia" w:cstheme="minorHAnsi"/>
        </w:rPr>
        <w:t xml:space="preserve"> through confiscation</w:t>
      </w:r>
      <w:r w:rsidR="003E75EE" w:rsidRPr="00C444CE">
        <w:rPr>
          <w:rStyle w:val="normaltextrun"/>
          <w:rFonts w:eastAsiaTheme="majorEastAsia" w:cstheme="minorHAnsi"/>
        </w:rPr>
        <w:t>.</w:t>
      </w:r>
    </w:p>
    <w:p w14:paraId="5BE6BFD8" w14:textId="397AB1D0" w:rsidR="00712382" w:rsidRPr="00C444CE" w:rsidRDefault="00712382" w:rsidP="00E12115">
      <w:pPr>
        <w:ind w:left="360"/>
      </w:pPr>
      <w:r w:rsidRPr="00C444CE">
        <w:rPr>
          <w:rStyle w:val="normaltextrun"/>
          <w:rFonts w:eastAsiaTheme="majorEastAsia" w:cstheme="minorHAnsi"/>
        </w:rPr>
        <w:t xml:space="preserve">The </w:t>
      </w:r>
      <w:r w:rsidR="00E85A44" w:rsidRPr="00C444CE">
        <w:rPr>
          <w:rStyle w:val="normaltextrun"/>
          <w:rFonts w:eastAsiaTheme="majorEastAsia" w:cstheme="minorHAnsi"/>
        </w:rPr>
        <w:t xml:space="preserve">specific circumstances of </w:t>
      </w:r>
      <w:r w:rsidR="00E85A44" w:rsidRPr="00C444CE">
        <w:t xml:space="preserve">Ihumātao highlight the limitations of </w:t>
      </w:r>
      <w:r w:rsidR="00120A14" w:rsidRPr="00C444CE">
        <w:t xml:space="preserve">current </w:t>
      </w:r>
      <w:r w:rsidR="00E85A44" w:rsidRPr="00C444CE">
        <w:t>process</w:t>
      </w:r>
      <w:r w:rsidR="00120A14" w:rsidRPr="00C444CE">
        <w:t>es</w:t>
      </w:r>
      <w:r w:rsidR="00E85A44" w:rsidRPr="00C444CE">
        <w:t xml:space="preserve"> for providing redress and restitution for historic </w:t>
      </w:r>
      <w:r w:rsidR="001C45F2" w:rsidRPr="00C444CE">
        <w:t>confiscations of land from Māori.</w:t>
      </w:r>
      <w:r w:rsidR="00A414D4" w:rsidRPr="00C444CE">
        <w:t xml:space="preserve"> </w:t>
      </w:r>
      <w:r w:rsidR="008554E0" w:rsidRPr="00C444CE">
        <w:t xml:space="preserve"> </w:t>
      </w:r>
      <w:r w:rsidR="0098733C" w:rsidRPr="00C444CE">
        <w:t xml:space="preserve">However, </w:t>
      </w:r>
      <w:r w:rsidR="008554E0" w:rsidRPr="00C444CE">
        <w:t>it</w:t>
      </w:r>
      <w:r w:rsidR="0098733C" w:rsidRPr="00C444CE">
        <w:t xml:space="preserve"> also provides an </w:t>
      </w:r>
      <w:r w:rsidR="008D3BD3" w:rsidRPr="00C444CE">
        <w:rPr>
          <w:rStyle w:val="normaltextrun"/>
          <w:rFonts w:eastAsiaTheme="majorEastAsia" w:cstheme="minorHAnsi"/>
        </w:rPr>
        <w:t xml:space="preserve">opportunity </w:t>
      </w:r>
      <w:r w:rsidR="00B5380B" w:rsidRPr="00C444CE">
        <w:rPr>
          <w:rStyle w:val="normaltextrun"/>
          <w:rFonts w:eastAsiaTheme="majorEastAsia" w:cstheme="minorHAnsi"/>
        </w:rPr>
        <w:t xml:space="preserve">for the Government </w:t>
      </w:r>
      <w:r w:rsidR="008D3BD3" w:rsidRPr="00C444CE">
        <w:rPr>
          <w:rStyle w:val="normaltextrun"/>
          <w:rFonts w:eastAsiaTheme="majorEastAsia" w:cstheme="minorHAnsi"/>
        </w:rPr>
        <w:t xml:space="preserve">to </w:t>
      </w:r>
      <w:r w:rsidR="00521D64" w:rsidRPr="00C444CE">
        <w:rPr>
          <w:rStyle w:val="normaltextrun"/>
          <w:rFonts w:eastAsiaTheme="majorEastAsia" w:cstheme="minorHAnsi"/>
        </w:rPr>
        <w:lastRenderedPageBreak/>
        <w:t xml:space="preserve">review current legislative and policy settings </w:t>
      </w:r>
      <w:r w:rsidR="003C3839" w:rsidRPr="00C444CE">
        <w:rPr>
          <w:rStyle w:val="normaltextrun"/>
          <w:rFonts w:eastAsiaTheme="majorEastAsia" w:cstheme="minorHAnsi"/>
        </w:rPr>
        <w:t>given</w:t>
      </w:r>
      <w:r w:rsidR="00850A62" w:rsidRPr="00C444CE">
        <w:rPr>
          <w:rStyle w:val="normaltextrun"/>
          <w:rFonts w:eastAsiaTheme="majorEastAsia" w:cstheme="minorHAnsi"/>
        </w:rPr>
        <w:t xml:space="preserve"> the </w:t>
      </w:r>
      <w:r w:rsidR="00521D64" w:rsidRPr="00C444CE">
        <w:rPr>
          <w:rStyle w:val="normaltextrun"/>
          <w:rFonts w:eastAsiaTheme="majorEastAsia" w:cstheme="minorHAnsi"/>
        </w:rPr>
        <w:t>particu</w:t>
      </w:r>
      <w:r w:rsidR="00127208" w:rsidRPr="00C444CE">
        <w:rPr>
          <w:rStyle w:val="normaltextrun"/>
          <w:rFonts w:eastAsiaTheme="majorEastAsia" w:cstheme="minorHAnsi"/>
        </w:rPr>
        <w:t xml:space="preserve">lar issues </w:t>
      </w:r>
      <w:r w:rsidR="005C0101" w:rsidRPr="00C444CE">
        <w:rPr>
          <w:rStyle w:val="normaltextrun"/>
          <w:rFonts w:eastAsiaTheme="majorEastAsia" w:cstheme="minorHAnsi"/>
        </w:rPr>
        <w:t xml:space="preserve">concerning </w:t>
      </w:r>
      <w:r w:rsidR="006E0A3D" w:rsidRPr="00C444CE">
        <w:rPr>
          <w:rStyle w:val="normaltextrun"/>
          <w:rFonts w:eastAsiaTheme="majorEastAsia" w:cstheme="minorHAnsi"/>
        </w:rPr>
        <w:t xml:space="preserve">the right to </w:t>
      </w:r>
      <w:r w:rsidR="005C0101" w:rsidRPr="00C444CE">
        <w:rPr>
          <w:rStyle w:val="normaltextrun"/>
          <w:rFonts w:eastAsiaTheme="majorEastAsia" w:cstheme="minorHAnsi"/>
        </w:rPr>
        <w:t xml:space="preserve">redress </w:t>
      </w:r>
      <w:r w:rsidR="00C11D23" w:rsidRPr="00C444CE">
        <w:t xml:space="preserve">that </w:t>
      </w:r>
      <w:r w:rsidR="00DC7C81" w:rsidRPr="00C444CE">
        <w:t>have been</w:t>
      </w:r>
      <w:r w:rsidR="00C11D23" w:rsidRPr="00C444CE">
        <w:t xml:space="preserve"> brought to light.</w:t>
      </w:r>
    </w:p>
    <w:p w14:paraId="5AAC9DBD" w14:textId="65AC5F79" w:rsidR="006F0A5B" w:rsidRPr="006F0A5B" w:rsidRDefault="006F0A5B" w:rsidP="006F0A5B">
      <w:pPr>
        <w:pStyle w:val="Subtitle"/>
      </w:pPr>
      <w:r w:rsidRPr="006F0A5B">
        <w:t>A Government commitment to full engagement with the United Nations Special Rapporteurs on the Right to Adequate Housing and the Rights of Indigenous Peoples.</w:t>
      </w:r>
    </w:p>
    <w:p w14:paraId="2B2C337A" w14:textId="6A02681A" w:rsidR="00DC7C81" w:rsidRPr="00C444CE" w:rsidRDefault="00DC7C81" w:rsidP="00DC7C81">
      <w:pPr>
        <w:ind w:left="360"/>
        <w:rPr>
          <w:rStyle w:val="normaltextrun"/>
          <w:rFonts w:eastAsiaTheme="majorEastAsia" w:cstheme="minorHAnsi"/>
        </w:rPr>
      </w:pPr>
      <w:r w:rsidRPr="00C444CE">
        <w:rPr>
          <w:rStyle w:val="normaltextrun"/>
          <w:rFonts w:eastAsiaTheme="majorEastAsia" w:cstheme="minorHAnsi"/>
        </w:rPr>
        <w:t xml:space="preserve">Engagement with the </w:t>
      </w:r>
      <w:r w:rsidR="009461E8">
        <w:rPr>
          <w:rStyle w:val="normaltextrun"/>
          <w:rFonts w:eastAsiaTheme="majorEastAsia" w:cstheme="minorHAnsi"/>
        </w:rPr>
        <w:t>UN</w:t>
      </w:r>
      <w:r w:rsidRPr="00C444CE">
        <w:rPr>
          <w:rStyle w:val="normaltextrun"/>
          <w:rFonts w:eastAsiaTheme="majorEastAsia" w:cstheme="minorHAnsi"/>
        </w:rPr>
        <w:t xml:space="preserve"> Special Rapporteurs is not only essential for New Zealand’s reputation as a responsible international citizen, it can assist in ensuring that systemic issues are properly </w:t>
      </w:r>
      <w:r w:rsidR="0003116E" w:rsidRPr="00C444CE">
        <w:rPr>
          <w:rStyle w:val="normaltextrun"/>
          <w:rFonts w:eastAsiaTheme="majorEastAsia" w:cstheme="minorHAnsi"/>
        </w:rPr>
        <w:t>addressed,</w:t>
      </w:r>
      <w:r w:rsidRPr="00C444CE">
        <w:rPr>
          <w:rStyle w:val="normaltextrun"/>
          <w:rFonts w:eastAsiaTheme="majorEastAsia" w:cstheme="minorHAnsi"/>
        </w:rPr>
        <w:t xml:space="preserve"> and that robust and effective processes are developed to avoid future or ongoing problems and disputes. </w:t>
      </w:r>
    </w:p>
    <w:p w14:paraId="605D6A15" w14:textId="2503D757" w:rsidR="00A25034" w:rsidRPr="00C444CE" w:rsidRDefault="0068477A" w:rsidP="0068477A">
      <w:r w:rsidRPr="00C444CE">
        <w:rPr>
          <w:rStyle w:val="normaltextrun"/>
          <w:rFonts w:eastAsiaTheme="majorEastAsia" w:cstheme="minorHAnsi"/>
        </w:rPr>
        <w:t>More generally, t</w:t>
      </w:r>
      <w:r w:rsidR="00A25034" w:rsidRPr="00C444CE">
        <w:rPr>
          <w:rStyle w:val="normaltextrun"/>
          <w:rFonts w:eastAsiaTheme="majorEastAsia" w:cstheme="minorHAnsi"/>
        </w:rPr>
        <w:t>he Commission encourage</w:t>
      </w:r>
      <w:r w:rsidR="00711601" w:rsidRPr="00C444CE">
        <w:rPr>
          <w:rStyle w:val="normaltextrun"/>
          <w:rFonts w:eastAsiaTheme="majorEastAsia" w:cstheme="minorHAnsi"/>
        </w:rPr>
        <w:t>s</w:t>
      </w:r>
      <w:r w:rsidR="00A25034" w:rsidRPr="00C444CE">
        <w:rPr>
          <w:rStyle w:val="normaltextrun"/>
          <w:rFonts w:eastAsiaTheme="majorEastAsia" w:cstheme="minorHAnsi"/>
        </w:rPr>
        <w:t xml:space="preserve"> the Government to </w:t>
      </w:r>
      <w:r w:rsidR="00643AA4" w:rsidRPr="00C444CE">
        <w:rPr>
          <w:rStyle w:val="normaltextrun"/>
          <w:rFonts w:eastAsiaTheme="majorEastAsia" w:cstheme="minorHAnsi"/>
        </w:rPr>
        <w:t xml:space="preserve">continue to </w:t>
      </w:r>
      <w:r w:rsidR="00A25034" w:rsidRPr="00C444CE">
        <w:rPr>
          <w:rStyle w:val="normaltextrun"/>
          <w:rFonts w:eastAsiaTheme="majorEastAsia" w:cstheme="minorHAnsi"/>
        </w:rPr>
        <w:t>acknowledge the impact that colonisation and historical injustices have had on</w:t>
      </w:r>
      <w:r w:rsidR="00F75B89" w:rsidRPr="00C444CE">
        <w:rPr>
          <w:rStyle w:val="normaltextrun"/>
          <w:rFonts w:eastAsiaTheme="majorEastAsia" w:cstheme="minorHAnsi"/>
        </w:rPr>
        <w:t xml:space="preserve"> the mana whenua of </w:t>
      </w:r>
      <w:r w:rsidR="006418E1" w:rsidRPr="00C444CE">
        <w:t xml:space="preserve">Ihumātao and </w:t>
      </w:r>
      <w:r w:rsidR="00302947">
        <w:t xml:space="preserve">on all </w:t>
      </w:r>
      <w:r w:rsidR="00A25034" w:rsidRPr="00C444CE">
        <w:rPr>
          <w:rStyle w:val="normaltextrun"/>
          <w:rFonts w:eastAsiaTheme="majorEastAsia" w:cstheme="minorHAnsi"/>
        </w:rPr>
        <w:t>Māori as a whole</w:t>
      </w:r>
      <w:r w:rsidR="00B20438" w:rsidRPr="00C444CE">
        <w:rPr>
          <w:rStyle w:val="normaltextrun"/>
          <w:rFonts w:eastAsiaTheme="majorEastAsia" w:cstheme="minorHAnsi"/>
        </w:rPr>
        <w:t>.</w:t>
      </w:r>
      <w:r w:rsidR="000A4263" w:rsidRPr="00C444CE">
        <w:rPr>
          <w:rStyle w:val="normaltextrun"/>
          <w:rFonts w:eastAsiaTheme="majorEastAsia" w:cstheme="minorHAnsi"/>
        </w:rPr>
        <w:t xml:space="preserve"> </w:t>
      </w:r>
      <w:r w:rsidR="00B20438" w:rsidRPr="00C444CE">
        <w:rPr>
          <w:rStyle w:val="normaltextrun"/>
          <w:rFonts w:eastAsiaTheme="majorEastAsia" w:cstheme="minorHAnsi"/>
        </w:rPr>
        <w:t xml:space="preserve">In </w:t>
      </w:r>
      <w:r w:rsidR="00A25034" w:rsidRPr="00C444CE">
        <w:rPr>
          <w:rStyle w:val="normaltextrun"/>
          <w:rFonts w:eastAsiaTheme="majorEastAsia" w:cstheme="minorHAnsi"/>
        </w:rPr>
        <w:t xml:space="preserve">particular, </w:t>
      </w:r>
      <w:r w:rsidR="00B20438" w:rsidRPr="00C444CE">
        <w:rPr>
          <w:rStyle w:val="normaltextrun"/>
          <w:rFonts w:eastAsiaTheme="majorEastAsia" w:cstheme="minorHAnsi"/>
        </w:rPr>
        <w:t xml:space="preserve">it is important to recognise </w:t>
      </w:r>
      <w:r w:rsidR="00A25034" w:rsidRPr="00C444CE">
        <w:rPr>
          <w:rStyle w:val="normaltextrun"/>
          <w:rFonts w:eastAsiaTheme="majorEastAsia" w:cstheme="minorHAnsi"/>
        </w:rPr>
        <w:t>the impact this has had on the</w:t>
      </w:r>
      <w:r w:rsidR="00882FBE" w:rsidRPr="00C444CE">
        <w:rPr>
          <w:rStyle w:val="normaltextrun"/>
          <w:rFonts w:eastAsiaTheme="majorEastAsia" w:cstheme="minorHAnsi"/>
        </w:rPr>
        <w:t xml:space="preserve"> rights of</w:t>
      </w:r>
      <w:r w:rsidR="00A25034" w:rsidRPr="00C444CE">
        <w:rPr>
          <w:rStyle w:val="normaltextrun"/>
          <w:rFonts w:eastAsiaTheme="majorEastAsia" w:cstheme="minorHAnsi"/>
        </w:rPr>
        <w:t xml:space="preserve"> Māori </w:t>
      </w:r>
      <w:r w:rsidR="00882FBE" w:rsidRPr="00C444CE">
        <w:rPr>
          <w:rStyle w:val="normaltextrun"/>
          <w:rFonts w:eastAsiaTheme="majorEastAsia" w:cstheme="minorHAnsi"/>
        </w:rPr>
        <w:t xml:space="preserve">to maintain and enjoy their rights under the Declaration </w:t>
      </w:r>
      <w:r w:rsidR="000957B1" w:rsidRPr="00C444CE">
        <w:rPr>
          <w:rStyle w:val="normaltextrun"/>
          <w:rFonts w:eastAsiaTheme="majorEastAsia" w:cstheme="minorHAnsi"/>
        </w:rPr>
        <w:t xml:space="preserve">in relation </w:t>
      </w:r>
      <w:r w:rsidR="00882FBE" w:rsidRPr="00C444CE">
        <w:rPr>
          <w:rStyle w:val="normaltextrun"/>
          <w:rFonts w:eastAsiaTheme="majorEastAsia" w:cstheme="minorHAnsi"/>
        </w:rPr>
        <w:t xml:space="preserve">to land and </w:t>
      </w:r>
      <w:r w:rsidR="00A25034" w:rsidRPr="00C444CE">
        <w:rPr>
          <w:rStyle w:val="normaltextrun"/>
          <w:rFonts w:eastAsiaTheme="majorEastAsia" w:cstheme="minorHAnsi"/>
        </w:rPr>
        <w:t>culture.</w:t>
      </w:r>
      <w:r w:rsidR="00ED6ABF" w:rsidRPr="00C444CE">
        <w:t xml:space="preserve"> </w:t>
      </w:r>
    </w:p>
    <w:p w14:paraId="3866D9B7" w14:textId="2270C32F" w:rsidR="00753BBF" w:rsidRPr="00C444CE" w:rsidRDefault="00753BBF" w:rsidP="00EB262B">
      <w:r w:rsidRPr="00C444CE">
        <w:t xml:space="preserve">Ihumātao can be a turning point for the protection of indigenous rights in </w:t>
      </w:r>
      <w:r w:rsidR="007B65A0" w:rsidRPr="00C444CE">
        <w:t xml:space="preserve">Aotearoa </w:t>
      </w:r>
      <w:r w:rsidRPr="00C444CE">
        <w:t xml:space="preserve">New Zealand </w:t>
      </w:r>
      <w:r w:rsidR="003026F6">
        <w:t>and</w:t>
      </w:r>
      <w:r w:rsidR="00E91472" w:rsidRPr="00C444CE">
        <w:t xml:space="preserve"> it provides</w:t>
      </w:r>
      <w:r w:rsidRPr="00C444CE">
        <w:t xml:space="preserve"> a real opportunity to move the nation forward in a constructive way.</w:t>
      </w:r>
      <w:r w:rsidRPr="00C444CE">
        <w:rPr>
          <w:rFonts w:eastAsiaTheme="majorEastAsia"/>
        </w:rPr>
        <w:t xml:space="preserve"> </w:t>
      </w:r>
      <w:r w:rsidR="00DC7C81" w:rsidRPr="00C444CE">
        <w:rPr>
          <w:rFonts w:eastAsiaTheme="majorEastAsia"/>
        </w:rPr>
        <w:t xml:space="preserve">The Declaration has a </w:t>
      </w:r>
      <w:r w:rsidR="003B73FB">
        <w:rPr>
          <w:rFonts w:eastAsiaTheme="majorEastAsia"/>
        </w:rPr>
        <w:t xml:space="preserve">compelling, constructive and </w:t>
      </w:r>
      <w:r w:rsidR="00DC7C81" w:rsidRPr="00C444CE">
        <w:rPr>
          <w:rFonts w:eastAsiaTheme="majorEastAsia"/>
        </w:rPr>
        <w:t>vital role to play in this critically important process.</w:t>
      </w:r>
      <w:r w:rsidR="002C7EFE" w:rsidRPr="00C444CE">
        <w:rPr>
          <w:rFonts w:eastAsiaTheme="majorEastAsia"/>
        </w:rPr>
        <w:t xml:space="preserve"> </w:t>
      </w:r>
      <w:r w:rsidR="00D379A6" w:rsidRPr="00C444CE">
        <w:rPr>
          <w:rFonts w:cstheme="minorHAnsi"/>
        </w:rPr>
        <w:t>A resolution</w:t>
      </w:r>
      <w:r w:rsidR="00D379A6" w:rsidRPr="00C444CE">
        <w:t xml:space="preserve"> at Ihumātao that upholds the rights of mana whenua presents an opportunity for reconciliation, for harmonious relations and nation building – </w:t>
      </w:r>
      <w:r w:rsidR="00D379A6" w:rsidRPr="00C444CE">
        <w:rPr>
          <w:i/>
        </w:rPr>
        <w:t>hohou te rongo</w:t>
      </w:r>
      <w:r w:rsidR="00D379A6" w:rsidRPr="00C444CE">
        <w:t xml:space="preserve"> establishing peace.</w:t>
      </w:r>
    </w:p>
    <w:p w14:paraId="63090ED3" w14:textId="7E55FC42" w:rsidR="00087F5C" w:rsidRPr="004F38E5" w:rsidRDefault="00087F5C">
      <w:pPr>
        <w:spacing w:line="259" w:lineRule="auto"/>
        <w:jc w:val="left"/>
        <w:rPr>
          <w:i/>
          <w:iCs/>
          <w:color w:val="762123"/>
          <w:lang w:val="mi-NZ"/>
        </w:rPr>
      </w:pPr>
      <w:r w:rsidRPr="004F38E5">
        <w:rPr>
          <w:i/>
          <w:iCs/>
          <w:color w:val="762123"/>
          <w:lang w:val="mi-NZ"/>
        </w:rPr>
        <w:t>Kia tau te rangimārie ki runga i a tātou katoa</w:t>
      </w:r>
    </w:p>
    <w:p w14:paraId="614C39EA" w14:textId="77777777" w:rsidR="00087F5C" w:rsidRPr="004F38E5" w:rsidRDefault="00087F5C">
      <w:pPr>
        <w:spacing w:line="259" w:lineRule="auto"/>
        <w:jc w:val="left"/>
        <w:rPr>
          <w:i/>
          <w:iCs/>
          <w:color w:val="762123"/>
          <w:lang w:val="mi-NZ"/>
        </w:rPr>
      </w:pPr>
      <w:r w:rsidRPr="004F38E5">
        <w:rPr>
          <w:i/>
          <w:iCs/>
          <w:color w:val="762123"/>
          <w:lang w:val="mi-NZ"/>
        </w:rPr>
        <w:t>Ruia, ruia, ruia, ruia</w:t>
      </w:r>
    </w:p>
    <w:p w14:paraId="5323B511" w14:textId="77777777" w:rsidR="00087F5C" w:rsidRPr="004F38E5" w:rsidRDefault="00087F5C">
      <w:pPr>
        <w:spacing w:line="259" w:lineRule="auto"/>
        <w:jc w:val="left"/>
        <w:rPr>
          <w:i/>
          <w:iCs/>
          <w:color w:val="762123"/>
          <w:lang w:val="mi-NZ"/>
        </w:rPr>
      </w:pPr>
      <w:r w:rsidRPr="004F38E5">
        <w:rPr>
          <w:i/>
          <w:iCs/>
          <w:color w:val="762123"/>
          <w:lang w:val="mi-NZ"/>
        </w:rPr>
        <w:t>Ruia ki runga, ruia ki raro</w:t>
      </w:r>
    </w:p>
    <w:p w14:paraId="03FA423E" w14:textId="77777777" w:rsidR="00087F5C" w:rsidRPr="004F38E5" w:rsidRDefault="00087F5C">
      <w:pPr>
        <w:spacing w:line="259" w:lineRule="auto"/>
        <w:jc w:val="left"/>
        <w:rPr>
          <w:i/>
          <w:iCs/>
          <w:color w:val="762123"/>
          <w:lang w:val="mi-NZ"/>
        </w:rPr>
      </w:pPr>
      <w:r w:rsidRPr="004F38E5">
        <w:rPr>
          <w:i/>
          <w:iCs/>
          <w:color w:val="762123"/>
          <w:lang w:val="mi-NZ"/>
        </w:rPr>
        <w:t>Ruia ki waho, ruia ki roto</w:t>
      </w:r>
    </w:p>
    <w:p w14:paraId="337894C8" w14:textId="77777777" w:rsidR="00087F5C" w:rsidRPr="004F38E5" w:rsidRDefault="00087F5C">
      <w:pPr>
        <w:spacing w:line="259" w:lineRule="auto"/>
        <w:jc w:val="left"/>
        <w:rPr>
          <w:i/>
          <w:iCs/>
          <w:color w:val="762123"/>
          <w:lang w:val="mi-NZ"/>
        </w:rPr>
      </w:pPr>
      <w:r w:rsidRPr="004F38E5">
        <w:rPr>
          <w:i/>
          <w:iCs/>
          <w:color w:val="762123"/>
          <w:lang w:val="mi-NZ"/>
        </w:rPr>
        <w:t>Ruia ki uta, ruia ki tai</w:t>
      </w:r>
    </w:p>
    <w:p w14:paraId="25031262" w14:textId="77777777" w:rsidR="00087F5C" w:rsidRPr="004F38E5" w:rsidRDefault="00087F5C">
      <w:pPr>
        <w:spacing w:line="259" w:lineRule="auto"/>
        <w:jc w:val="left"/>
        <w:rPr>
          <w:i/>
          <w:iCs/>
          <w:color w:val="762123"/>
          <w:lang w:val="mi-NZ"/>
        </w:rPr>
      </w:pPr>
      <w:r w:rsidRPr="004F38E5">
        <w:rPr>
          <w:i/>
          <w:iCs/>
          <w:color w:val="762123"/>
          <w:lang w:val="mi-NZ"/>
        </w:rPr>
        <w:t>Hū ana ki te rangi, turu ana ki nuku</w:t>
      </w:r>
    </w:p>
    <w:p w14:paraId="6041DE7E" w14:textId="77777777" w:rsidR="00087F5C" w:rsidRPr="004F38E5" w:rsidRDefault="00087F5C">
      <w:pPr>
        <w:spacing w:line="259" w:lineRule="auto"/>
        <w:jc w:val="left"/>
        <w:rPr>
          <w:i/>
          <w:iCs/>
          <w:color w:val="762123"/>
          <w:lang w:val="mi-NZ"/>
        </w:rPr>
      </w:pPr>
      <w:r w:rsidRPr="004F38E5">
        <w:rPr>
          <w:i/>
          <w:iCs/>
          <w:color w:val="762123"/>
          <w:lang w:val="mi-NZ"/>
        </w:rPr>
        <w:t>Nā, kua tau, kua mau, kua ea</w:t>
      </w:r>
    </w:p>
    <w:p w14:paraId="1E195DE2" w14:textId="445702DE" w:rsidR="00E12115" w:rsidRPr="00C444CE" w:rsidRDefault="00087F5C">
      <w:pPr>
        <w:spacing w:line="259" w:lineRule="auto"/>
        <w:jc w:val="left"/>
      </w:pPr>
      <w:r w:rsidRPr="004F38E5">
        <w:rPr>
          <w:i/>
          <w:iCs/>
          <w:color w:val="762123"/>
          <w:lang w:val="mi-NZ"/>
        </w:rPr>
        <w:t>Tīhei mauri ora</w:t>
      </w:r>
      <w:r w:rsidR="00E12115" w:rsidRPr="00C444CE">
        <w:br w:type="page"/>
      </w:r>
    </w:p>
    <w:p w14:paraId="3137C7F2" w14:textId="56FEF007" w:rsidR="00753BBF" w:rsidRPr="00C444CE" w:rsidRDefault="00E12115" w:rsidP="00E12115">
      <w:pPr>
        <w:pStyle w:val="Heading1"/>
      </w:pPr>
      <w:bookmarkStart w:id="21" w:name="_Toc17386686"/>
      <w:r w:rsidRPr="00C444CE">
        <w:lastRenderedPageBreak/>
        <w:t>References</w:t>
      </w:r>
      <w:bookmarkEnd w:id="21"/>
    </w:p>
    <w:sectPr w:rsidR="00753BBF" w:rsidRPr="00C444CE" w:rsidSect="00AA489C">
      <w:headerReference w:type="default" r:id="rId20"/>
      <w:footerReference w:type="default" r:id="rId21"/>
      <w:endnotePr>
        <w:numFmt w:val="decimal"/>
      </w:endnotePr>
      <w:pgSz w:w="11906" w:h="16838"/>
      <w:pgMar w:top="1440" w:right="1701"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D4C57" w14:textId="77777777" w:rsidR="005919BF" w:rsidRDefault="005919BF" w:rsidP="00EB262B">
      <w:r>
        <w:separator/>
      </w:r>
    </w:p>
  </w:endnote>
  <w:endnote w:type="continuationSeparator" w:id="0">
    <w:p w14:paraId="28B1D66F" w14:textId="77777777" w:rsidR="005919BF" w:rsidRDefault="005919BF" w:rsidP="00EB262B">
      <w:r>
        <w:continuationSeparator/>
      </w:r>
    </w:p>
  </w:endnote>
  <w:endnote w:type="continuationNotice" w:id="1">
    <w:p w14:paraId="393883D3" w14:textId="77777777" w:rsidR="005919BF" w:rsidRDefault="005919BF" w:rsidP="00EB262B"/>
  </w:endnote>
  <w:endnote w:id="2">
    <w:p w14:paraId="16CBEB21" w14:textId="6A6A00F0"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w:t>
      </w:r>
      <w:r w:rsidRPr="00714350">
        <w:rPr>
          <w:sz w:val="18"/>
          <w:szCs w:val="18"/>
          <w:lang w:val="en-US"/>
        </w:rPr>
        <w:t>International Covenant on Economic, Social and Cultural Rights, Article 1</w:t>
      </w:r>
      <w:r>
        <w:rPr>
          <w:sz w:val="18"/>
          <w:szCs w:val="18"/>
          <w:lang w:val="en-US"/>
        </w:rPr>
        <w:t>.</w:t>
      </w:r>
      <w:r w:rsidRPr="00714350">
        <w:rPr>
          <w:sz w:val="18"/>
          <w:szCs w:val="18"/>
          <w:lang w:val="en-US"/>
        </w:rPr>
        <w:t>1</w:t>
      </w:r>
      <w:r w:rsidR="00DC6B62">
        <w:rPr>
          <w:sz w:val="18"/>
          <w:szCs w:val="18"/>
          <w:lang w:val="en-US"/>
        </w:rPr>
        <w:t>.</w:t>
      </w:r>
    </w:p>
  </w:endnote>
  <w:endnote w:id="3">
    <w:p w14:paraId="0343F7E9" w14:textId="7F90ED20" w:rsidR="00B417E2" w:rsidRPr="00C07347" w:rsidRDefault="00B417E2" w:rsidP="00AA489C">
      <w:pPr>
        <w:pStyle w:val="EndnoteText"/>
        <w:spacing w:after="120"/>
        <w:rPr>
          <w:lang w:val="en-US"/>
        </w:rPr>
      </w:pPr>
      <w:r>
        <w:rPr>
          <w:rStyle w:val="EndnoteReference"/>
        </w:rPr>
        <w:endnoteRef/>
      </w:r>
      <w:r>
        <w:rPr>
          <w:sz w:val="18"/>
          <w:szCs w:val="18"/>
        </w:rPr>
        <w:t xml:space="preserve"> </w:t>
      </w:r>
      <w:r w:rsidRPr="008827A9">
        <w:rPr>
          <w:sz w:val="18"/>
          <w:szCs w:val="18"/>
        </w:rPr>
        <w:t>Māori Affairs Committee, Petition of Pania Newton for Save Our Unique Landscape: Protect Ihum</w:t>
      </w:r>
      <w:r>
        <w:rPr>
          <w:sz w:val="18"/>
          <w:szCs w:val="18"/>
        </w:rPr>
        <w:t>ā</w:t>
      </w:r>
      <w:r w:rsidRPr="008827A9">
        <w:rPr>
          <w:sz w:val="18"/>
          <w:szCs w:val="18"/>
        </w:rPr>
        <w:t>tao – Report of the Māori Affairs Committee (July 2019), at 13; Waitangi Tribunal, Report of the Waitangi Tribunal on the Manukau Claim (WAI-8, 1985) at 35.</w:t>
      </w:r>
    </w:p>
  </w:endnote>
  <w:endnote w:id="4">
    <w:p w14:paraId="706521AB" w14:textId="7D53C4CA"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M</w:t>
      </w:r>
      <w:r w:rsidRPr="00714350">
        <w:rPr>
          <w:sz w:val="18"/>
          <w:szCs w:val="18"/>
          <w:lang w:val="mi-NZ"/>
        </w:rPr>
        <w:t>ā</w:t>
      </w:r>
      <w:r w:rsidRPr="00714350">
        <w:rPr>
          <w:sz w:val="18"/>
          <w:szCs w:val="18"/>
        </w:rPr>
        <w:t xml:space="preserve">ori Affairs Committee, </w:t>
      </w:r>
      <w:hyperlink r:id="rId1" w:history="1">
        <w:r w:rsidRPr="00714350">
          <w:rPr>
            <w:rStyle w:val="Hyperlink"/>
            <w:i/>
            <w:sz w:val="18"/>
            <w:szCs w:val="18"/>
          </w:rPr>
          <w:t xml:space="preserve">Petition of Pania Newton for Save Our Unique Landscape: Protect </w:t>
        </w:r>
        <w:r w:rsidRPr="00A30F92">
          <w:rPr>
            <w:rStyle w:val="Hyperlink"/>
            <w:i/>
            <w:sz w:val="18"/>
            <w:szCs w:val="18"/>
          </w:rPr>
          <w:t xml:space="preserve">Ihumātao </w:t>
        </w:r>
        <w:r w:rsidRPr="00714350">
          <w:rPr>
            <w:rStyle w:val="Hyperlink"/>
            <w:i/>
            <w:sz w:val="18"/>
            <w:szCs w:val="18"/>
          </w:rPr>
          <w:t>– Report of the Māori Affairs Committee</w:t>
        </w:r>
      </w:hyperlink>
      <w:r w:rsidRPr="00714350">
        <w:rPr>
          <w:sz w:val="18"/>
          <w:szCs w:val="18"/>
        </w:rPr>
        <w:t xml:space="preserve"> (July 2019), </w:t>
      </w:r>
      <w:r w:rsidRPr="00714350">
        <w:rPr>
          <w:sz w:val="18"/>
          <w:szCs w:val="18"/>
          <w:lang w:val="en-US"/>
        </w:rPr>
        <w:t>at 12</w:t>
      </w:r>
    </w:p>
  </w:endnote>
  <w:endnote w:id="5">
    <w:p w14:paraId="2647F417" w14:textId="18D4F645" w:rsidR="00B417E2" w:rsidRPr="004013C4"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w:t>
      </w:r>
      <w:r>
        <w:rPr>
          <w:sz w:val="18"/>
          <w:szCs w:val="18"/>
        </w:rPr>
        <w:t>Ibid</w:t>
      </w:r>
      <w:r w:rsidRPr="004013C4">
        <w:rPr>
          <w:sz w:val="18"/>
          <w:szCs w:val="18"/>
        </w:rPr>
        <w:t xml:space="preserve"> (July 2019), </w:t>
      </w:r>
      <w:r w:rsidRPr="004013C4">
        <w:rPr>
          <w:sz w:val="18"/>
          <w:szCs w:val="18"/>
          <w:lang w:val="en-US"/>
        </w:rPr>
        <w:t>at 13.</w:t>
      </w:r>
    </w:p>
  </w:endnote>
  <w:endnote w:id="6">
    <w:p w14:paraId="316BE69B" w14:textId="5E049E68" w:rsidR="00B417E2" w:rsidRPr="004013C4" w:rsidRDefault="00B417E2" w:rsidP="00AA489C">
      <w:pPr>
        <w:pStyle w:val="EndnoteText"/>
        <w:spacing w:after="120"/>
        <w:rPr>
          <w:sz w:val="18"/>
          <w:szCs w:val="18"/>
          <w:lang w:val="en-US"/>
        </w:rPr>
      </w:pPr>
      <w:r w:rsidRPr="00714350">
        <w:rPr>
          <w:rStyle w:val="EndnoteReference"/>
          <w:sz w:val="18"/>
          <w:szCs w:val="18"/>
        </w:rPr>
        <w:endnoteRef/>
      </w:r>
      <w:r w:rsidRPr="004013C4">
        <w:rPr>
          <w:sz w:val="18"/>
          <w:szCs w:val="18"/>
        </w:rPr>
        <w:t xml:space="preserve"> </w:t>
      </w:r>
      <w:r>
        <w:rPr>
          <w:sz w:val="18"/>
          <w:szCs w:val="18"/>
        </w:rPr>
        <w:t>Ibid</w:t>
      </w:r>
      <w:r w:rsidRPr="004013C4">
        <w:rPr>
          <w:sz w:val="18"/>
          <w:szCs w:val="18"/>
        </w:rPr>
        <w:t xml:space="preserve"> (July 2019), </w:t>
      </w:r>
      <w:r w:rsidRPr="004013C4">
        <w:rPr>
          <w:sz w:val="18"/>
          <w:szCs w:val="18"/>
          <w:lang w:val="en-US"/>
        </w:rPr>
        <w:t>at 12.</w:t>
      </w:r>
    </w:p>
  </w:endnote>
  <w:endnote w:id="7">
    <w:p w14:paraId="137A9065" w14:textId="6A7B2E7B"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Waitangi Tribunal, </w:t>
      </w:r>
      <w:hyperlink r:id="rId2" w:history="1">
        <w:r w:rsidRPr="00714350">
          <w:rPr>
            <w:rStyle w:val="Hyperlink"/>
            <w:i/>
            <w:sz w:val="18"/>
            <w:szCs w:val="18"/>
          </w:rPr>
          <w:t>Report of the Waitangi Tribunal on the Manukau Claim</w:t>
        </w:r>
      </w:hyperlink>
      <w:r w:rsidRPr="00714350">
        <w:rPr>
          <w:sz w:val="18"/>
          <w:szCs w:val="18"/>
        </w:rPr>
        <w:t xml:space="preserve"> (WAI-8, 1985) at 35.</w:t>
      </w:r>
    </w:p>
  </w:endnote>
  <w:endnote w:id="8">
    <w:p w14:paraId="65EBD649" w14:textId="723DE401" w:rsidR="00B417E2" w:rsidRPr="004013C4" w:rsidRDefault="00B417E2" w:rsidP="00AA489C">
      <w:pPr>
        <w:pStyle w:val="EndnoteText"/>
        <w:spacing w:after="120"/>
        <w:rPr>
          <w:sz w:val="18"/>
          <w:szCs w:val="18"/>
          <w:lang w:val="en-US"/>
        </w:rPr>
      </w:pPr>
      <w:r w:rsidRPr="00714350">
        <w:rPr>
          <w:rStyle w:val="EndnoteReference"/>
          <w:sz w:val="18"/>
          <w:szCs w:val="18"/>
        </w:rPr>
        <w:endnoteRef/>
      </w:r>
      <w:r w:rsidRPr="004013C4">
        <w:rPr>
          <w:sz w:val="18"/>
          <w:szCs w:val="18"/>
        </w:rPr>
        <w:t xml:space="preserve"> M</w:t>
      </w:r>
      <w:r w:rsidRPr="004013C4">
        <w:rPr>
          <w:sz w:val="18"/>
          <w:szCs w:val="18"/>
          <w:lang w:val="mi-NZ"/>
        </w:rPr>
        <w:t>ā</w:t>
      </w:r>
      <w:r w:rsidRPr="004013C4">
        <w:rPr>
          <w:sz w:val="18"/>
          <w:szCs w:val="18"/>
        </w:rPr>
        <w:t xml:space="preserve">ori Affairs Committee, </w:t>
      </w:r>
      <w:hyperlink r:id="rId3" w:history="1">
        <w:r w:rsidRPr="004013C4">
          <w:rPr>
            <w:rStyle w:val="Hyperlink"/>
            <w:i/>
            <w:sz w:val="18"/>
            <w:szCs w:val="18"/>
          </w:rPr>
          <w:t xml:space="preserve">Petition of Pania Newton for Save Our Unique Landscape: Protect </w:t>
        </w:r>
        <w:r w:rsidRPr="00744960">
          <w:rPr>
            <w:rStyle w:val="Hyperlink"/>
            <w:i/>
            <w:sz w:val="18"/>
            <w:szCs w:val="18"/>
          </w:rPr>
          <w:t xml:space="preserve">Ihumātao </w:t>
        </w:r>
        <w:r w:rsidRPr="004013C4">
          <w:rPr>
            <w:rStyle w:val="Hyperlink"/>
            <w:i/>
            <w:sz w:val="18"/>
            <w:szCs w:val="18"/>
          </w:rPr>
          <w:t>– Report of the Māori Affairs Committee</w:t>
        </w:r>
      </w:hyperlink>
      <w:r w:rsidRPr="004013C4">
        <w:rPr>
          <w:sz w:val="18"/>
          <w:szCs w:val="18"/>
        </w:rPr>
        <w:t xml:space="preserve"> (July 2019), </w:t>
      </w:r>
      <w:r w:rsidRPr="004013C4">
        <w:rPr>
          <w:sz w:val="18"/>
          <w:szCs w:val="18"/>
          <w:lang w:val="en-US"/>
        </w:rPr>
        <w:t>at 13.</w:t>
      </w:r>
    </w:p>
  </w:endnote>
  <w:endnote w:id="9">
    <w:p w14:paraId="3FB5A86B" w14:textId="77777777" w:rsidR="00B417E2" w:rsidRPr="00CD506C" w:rsidRDefault="00B417E2" w:rsidP="00AA489C">
      <w:pPr>
        <w:pStyle w:val="EndnoteText"/>
        <w:spacing w:after="120"/>
        <w:rPr>
          <w:sz w:val="18"/>
          <w:szCs w:val="18"/>
          <w:lang w:val="mi-NZ"/>
        </w:rPr>
      </w:pPr>
      <w:r w:rsidRPr="00714350">
        <w:rPr>
          <w:rStyle w:val="EndnoteReference"/>
          <w:sz w:val="18"/>
          <w:szCs w:val="18"/>
        </w:rPr>
        <w:endnoteRef/>
      </w:r>
      <w:r w:rsidRPr="00714350">
        <w:rPr>
          <w:sz w:val="18"/>
          <w:szCs w:val="18"/>
        </w:rPr>
        <w:t xml:space="preserve"> </w:t>
      </w:r>
      <w:r w:rsidRPr="00CD506C">
        <w:rPr>
          <w:sz w:val="18"/>
          <w:szCs w:val="18"/>
          <w:lang w:val="mi-NZ"/>
        </w:rPr>
        <w:t>Manukau City Council Notice of Requirement dated 18 October 20</w:t>
      </w:r>
      <w:r>
        <w:rPr>
          <w:sz w:val="18"/>
          <w:szCs w:val="18"/>
          <w:lang w:val="mi-NZ"/>
        </w:rPr>
        <w:t>07</w:t>
      </w:r>
      <w:r w:rsidRPr="00CD506C">
        <w:rPr>
          <w:sz w:val="18"/>
          <w:szCs w:val="18"/>
          <w:lang w:val="mi-NZ"/>
        </w:rPr>
        <w:t xml:space="preserve">, referenced at </w:t>
      </w:r>
      <w:r w:rsidRPr="00CD506C">
        <w:rPr>
          <w:i/>
          <w:sz w:val="18"/>
          <w:szCs w:val="18"/>
          <w:lang w:val="mi-NZ"/>
        </w:rPr>
        <w:t xml:space="preserve">Gavin Wallace Ltd v Auckland Council </w:t>
      </w:r>
      <w:r w:rsidRPr="00CD506C">
        <w:rPr>
          <w:color w:val="373A3C"/>
          <w:sz w:val="18"/>
          <w:szCs w:val="18"/>
          <w:shd w:val="clear" w:color="auto" w:fill="FFFFFF"/>
        </w:rPr>
        <w:t xml:space="preserve">[2012] NZEnvC 120 </w:t>
      </w:r>
      <w:r w:rsidRPr="00CD506C">
        <w:rPr>
          <w:sz w:val="18"/>
          <w:szCs w:val="18"/>
          <w:lang w:val="mi-NZ"/>
        </w:rPr>
        <w:t>at [8]</w:t>
      </w:r>
      <w:r>
        <w:rPr>
          <w:sz w:val="18"/>
          <w:szCs w:val="18"/>
          <w:lang w:val="mi-NZ"/>
        </w:rPr>
        <w:t>.</w:t>
      </w:r>
    </w:p>
  </w:endnote>
  <w:endnote w:id="10">
    <w:p w14:paraId="370ADC1A" w14:textId="77777777" w:rsidR="00B417E2" w:rsidRPr="00714350" w:rsidRDefault="00B417E2" w:rsidP="00AA489C">
      <w:pPr>
        <w:pStyle w:val="EndnoteText"/>
        <w:spacing w:after="120"/>
        <w:rPr>
          <w:sz w:val="18"/>
          <w:szCs w:val="18"/>
          <w:lang w:val="mi-NZ"/>
        </w:rPr>
      </w:pPr>
      <w:r w:rsidRPr="00714350">
        <w:rPr>
          <w:rStyle w:val="EndnoteReference"/>
          <w:sz w:val="18"/>
          <w:szCs w:val="18"/>
        </w:rPr>
        <w:endnoteRef/>
      </w:r>
      <w:r w:rsidRPr="00714350">
        <w:rPr>
          <w:sz w:val="18"/>
          <w:szCs w:val="18"/>
        </w:rPr>
        <w:t xml:space="preserve"> </w:t>
      </w:r>
      <w:r w:rsidRPr="00863D1B">
        <w:rPr>
          <w:i/>
          <w:sz w:val="18"/>
          <w:szCs w:val="18"/>
          <w:lang w:val="mi-NZ"/>
        </w:rPr>
        <w:t xml:space="preserve">Gavin Wallace Ltd v Auckland Council </w:t>
      </w:r>
      <w:r w:rsidRPr="00863D1B">
        <w:rPr>
          <w:color w:val="373A3C"/>
          <w:sz w:val="18"/>
          <w:szCs w:val="18"/>
          <w:shd w:val="clear" w:color="auto" w:fill="FFFFFF"/>
        </w:rPr>
        <w:t>[2012] NZEnvC 120</w:t>
      </w:r>
      <w:r>
        <w:rPr>
          <w:color w:val="373A3C"/>
          <w:sz w:val="18"/>
          <w:szCs w:val="18"/>
          <w:shd w:val="clear" w:color="auto" w:fill="FFFFFF"/>
        </w:rPr>
        <w:t>.</w:t>
      </w:r>
    </w:p>
  </w:endnote>
  <w:endnote w:id="11">
    <w:p w14:paraId="36AA9302" w14:textId="77777777" w:rsidR="00B417E2" w:rsidRPr="00CD506C" w:rsidRDefault="00B417E2" w:rsidP="00AA489C">
      <w:pPr>
        <w:pStyle w:val="EndnoteText"/>
        <w:spacing w:after="120"/>
        <w:rPr>
          <w:sz w:val="18"/>
          <w:szCs w:val="18"/>
          <w:lang w:val="mi-NZ"/>
        </w:rPr>
      </w:pPr>
      <w:r w:rsidRPr="00CD506C">
        <w:rPr>
          <w:rStyle w:val="EndnoteReference"/>
          <w:sz w:val="18"/>
          <w:szCs w:val="18"/>
        </w:rPr>
        <w:endnoteRef/>
      </w:r>
      <w:r w:rsidRPr="00CD506C">
        <w:rPr>
          <w:sz w:val="18"/>
          <w:szCs w:val="18"/>
        </w:rPr>
        <w:t xml:space="preserve"> </w:t>
      </w:r>
      <w:r w:rsidRPr="00CD506C">
        <w:rPr>
          <w:sz w:val="18"/>
          <w:szCs w:val="18"/>
          <w:lang w:val="mi-NZ"/>
        </w:rPr>
        <w:t>At [29] – [30]</w:t>
      </w:r>
      <w:r>
        <w:rPr>
          <w:sz w:val="18"/>
          <w:szCs w:val="18"/>
          <w:lang w:val="mi-NZ"/>
        </w:rPr>
        <w:t>.</w:t>
      </w:r>
    </w:p>
  </w:endnote>
  <w:endnote w:id="12">
    <w:p w14:paraId="48D68B18" w14:textId="77777777" w:rsidR="00B417E2" w:rsidRPr="00CD506C" w:rsidRDefault="00B417E2" w:rsidP="00AA489C">
      <w:pPr>
        <w:pStyle w:val="EndnoteText"/>
        <w:spacing w:after="120"/>
        <w:rPr>
          <w:sz w:val="18"/>
          <w:szCs w:val="18"/>
          <w:lang w:val="mi-NZ"/>
        </w:rPr>
      </w:pPr>
      <w:r w:rsidRPr="00CD506C">
        <w:rPr>
          <w:rStyle w:val="EndnoteReference"/>
          <w:sz w:val="18"/>
          <w:szCs w:val="18"/>
        </w:rPr>
        <w:endnoteRef/>
      </w:r>
      <w:r w:rsidRPr="00CD506C">
        <w:rPr>
          <w:sz w:val="18"/>
          <w:szCs w:val="18"/>
        </w:rPr>
        <w:t xml:space="preserve"> </w:t>
      </w:r>
      <w:r w:rsidRPr="00CD506C">
        <w:rPr>
          <w:sz w:val="18"/>
          <w:szCs w:val="18"/>
          <w:lang w:val="mi-NZ"/>
        </w:rPr>
        <w:t>At [209]</w:t>
      </w:r>
      <w:r>
        <w:rPr>
          <w:sz w:val="18"/>
          <w:szCs w:val="18"/>
          <w:lang w:val="mi-NZ"/>
        </w:rPr>
        <w:t>.</w:t>
      </w:r>
    </w:p>
  </w:endnote>
  <w:endnote w:id="13">
    <w:p w14:paraId="7F1EA0EF" w14:textId="33E41DE4" w:rsidR="00B417E2" w:rsidRPr="004013C4" w:rsidRDefault="00B417E2" w:rsidP="00AA489C">
      <w:pPr>
        <w:pStyle w:val="EndnoteText"/>
        <w:spacing w:after="120"/>
        <w:rPr>
          <w:sz w:val="18"/>
          <w:szCs w:val="18"/>
          <w:lang w:val="en-US"/>
        </w:rPr>
      </w:pPr>
      <w:r w:rsidRPr="00714350">
        <w:rPr>
          <w:rStyle w:val="EndnoteReference"/>
          <w:sz w:val="18"/>
          <w:szCs w:val="18"/>
        </w:rPr>
        <w:endnoteRef/>
      </w:r>
      <w:r w:rsidRPr="004013C4">
        <w:rPr>
          <w:sz w:val="18"/>
          <w:szCs w:val="18"/>
        </w:rPr>
        <w:t xml:space="preserve"> Waitangi Tribunal </w:t>
      </w:r>
      <w:r w:rsidRPr="004013C4">
        <w:rPr>
          <w:i/>
          <w:sz w:val="18"/>
          <w:szCs w:val="18"/>
        </w:rPr>
        <w:t>The Special Housing Areas Act (Ihumātao) claim</w:t>
      </w:r>
      <w:r w:rsidRPr="004013C4">
        <w:rPr>
          <w:sz w:val="18"/>
          <w:szCs w:val="18"/>
        </w:rPr>
        <w:t xml:space="preserve"> (Wai 2547, 2017), #2.5.5.</w:t>
      </w:r>
    </w:p>
  </w:endnote>
  <w:endnote w:id="14">
    <w:p w14:paraId="7EDBAD68" w14:textId="5333A3C0"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w:t>
      </w:r>
      <w:r w:rsidRPr="00F8275A">
        <w:rPr>
          <w:sz w:val="18"/>
          <w:szCs w:val="18"/>
          <w:lang w:val="en-US"/>
        </w:rPr>
        <w:t>Letter from Fletcher Building Chief Executive, Residential Land and Development to the Chair of the Committee on Economic, Social and Cultural Rights, 21 March 2018</w:t>
      </w:r>
      <w:r>
        <w:rPr>
          <w:sz w:val="18"/>
          <w:szCs w:val="18"/>
          <w:lang w:val="en-US"/>
        </w:rPr>
        <w:t>.</w:t>
      </w:r>
    </w:p>
  </w:endnote>
  <w:endnote w:id="15">
    <w:p w14:paraId="5A2FF2F6" w14:textId="4B60ED9A" w:rsidR="00B417E2" w:rsidRPr="004013C4" w:rsidRDefault="00B417E2" w:rsidP="00AA489C">
      <w:pPr>
        <w:pStyle w:val="EndnoteText"/>
        <w:spacing w:after="120"/>
        <w:rPr>
          <w:sz w:val="18"/>
          <w:szCs w:val="18"/>
          <w:lang w:val="en-US"/>
        </w:rPr>
      </w:pPr>
      <w:r w:rsidRPr="00714350">
        <w:rPr>
          <w:rStyle w:val="EndnoteReference"/>
          <w:sz w:val="18"/>
          <w:szCs w:val="18"/>
        </w:rPr>
        <w:endnoteRef/>
      </w:r>
      <w:r w:rsidRPr="004013C4">
        <w:rPr>
          <w:sz w:val="18"/>
          <w:szCs w:val="18"/>
        </w:rPr>
        <w:t xml:space="preserve"> M</w:t>
      </w:r>
      <w:r w:rsidRPr="004013C4">
        <w:rPr>
          <w:sz w:val="18"/>
          <w:szCs w:val="18"/>
          <w:lang w:val="mi-NZ"/>
        </w:rPr>
        <w:t>ā</w:t>
      </w:r>
      <w:r w:rsidRPr="004013C4">
        <w:rPr>
          <w:sz w:val="18"/>
          <w:szCs w:val="18"/>
        </w:rPr>
        <w:t>ori Affairs Committee</w:t>
      </w:r>
      <w:r>
        <w:rPr>
          <w:sz w:val="18"/>
          <w:szCs w:val="18"/>
        </w:rPr>
        <w:t xml:space="preserve"> </w:t>
      </w:r>
      <w:hyperlink r:id="rId4" w:history="1">
        <w:r w:rsidRPr="00714350">
          <w:rPr>
            <w:rStyle w:val="Hyperlink"/>
            <w:i/>
            <w:sz w:val="18"/>
            <w:szCs w:val="18"/>
          </w:rPr>
          <w:t xml:space="preserve">Petition of Pania Newton for Save Our Unique Landscape: Protect </w:t>
        </w:r>
        <w:r w:rsidRPr="00744960">
          <w:rPr>
            <w:rStyle w:val="Hyperlink"/>
            <w:i/>
            <w:sz w:val="18"/>
            <w:szCs w:val="18"/>
          </w:rPr>
          <w:t xml:space="preserve">Ihumātao </w:t>
        </w:r>
        <w:r w:rsidRPr="00714350">
          <w:rPr>
            <w:rStyle w:val="Hyperlink"/>
            <w:i/>
            <w:sz w:val="18"/>
            <w:szCs w:val="18"/>
          </w:rPr>
          <w:t>– Report of the Māori Affairs Committee</w:t>
        </w:r>
      </w:hyperlink>
      <w:r w:rsidRPr="004013C4">
        <w:rPr>
          <w:sz w:val="18"/>
          <w:szCs w:val="18"/>
        </w:rPr>
        <w:t xml:space="preserve"> (July 2019), </w:t>
      </w:r>
      <w:r w:rsidRPr="004013C4">
        <w:rPr>
          <w:sz w:val="18"/>
          <w:szCs w:val="18"/>
          <w:lang w:val="en-US"/>
        </w:rPr>
        <w:t>at 15.</w:t>
      </w:r>
    </w:p>
  </w:endnote>
  <w:endnote w:id="16">
    <w:p w14:paraId="70869C69" w14:textId="28007E97" w:rsidR="00B417E2" w:rsidRPr="004013C4" w:rsidRDefault="00B417E2" w:rsidP="00AA489C">
      <w:pPr>
        <w:pStyle w:val="EndnoteText"/>
        <w:spacing w:after="120"/>
        <w:rPr>
          <w:sz w:val="18"/>
          <w:szCs w:val="18"/>
          <w:lang w:val="en-US"/>
        </w:rPr>
      </w:pPr>
      <w:r w:rsidRPr="004013C4">
        <w:rPr>
          <w:rStyle w:val="EndnoteReference"/>
          <w:sz w:val="18"/>
          <w:szCs w:val="18"/>
        </w:rPr>
        <w:endnoteRef/>
      </w:r>
      <w:r w:rsidRPr="004013C4">
        <w:rPr>
          <w:sz w:val="18"/>
          <w:szCs w:val="18"/>
        </w:rPr>
        <w:t xml:space="preserve"> </w:t>
      </w:r>
      <w:r>
        <w:rPr>
          <w:sz w:val="18"/>
          <w:szCs w:val="18"/>
        </w:rPr>
        <w:t xml:space="preserve">See Save Our Unique Landscape - </w:t>
      </w:r>
      <w:hyperlink r:id="rId5" w:history="1">
        <w:r w:rsidRPr="004013C4">
          <w:rPr>
            <w:rStyle w:val="Hyperlink"/>
            <w:sz w:val="18"/>
            <w:szCs w:val="18"/>
          </w:rPr>
          <w:t>https://www.protectihumatao.com/</w:t>
        </w:r>
      </w:hyperlink>
      <w:r>
        <w:rPr>
          <w:rStyle w:val="Hyperlink"/>
          <w:sz w:val="18"/>
          <w:szCs w:val="18"/>
        </w:rPr>
        <w:t>.</w:t>
      </w:r>
    </w:p>
  </w:endnote>
  <w:endnote w:id="17">
    <w:p w14:paraId="54B22224" w14:textId="608814DF" w:rsidR="00B417E2" w:rsidRPr="004013C4" w:rsidRDefault="00B417E2" w:rsidP="00AA489C">
      <w:pPr>
        <w:pStyle w:val="EndnoteText"/>
        <w:spacing w:after="120"/>
        <w:rPr>
          <w:sz w:val="18"/>
          <w:szCs w:val="18"/>
          <w:lang w:val="en-US"/>
        </w:rPr>
      </w:pPr>
      <w:r w:rsidRPr="00714350">
        <w:rPr>
          <w:rStyle w:val="EndnoteReference"/>
          <w:sz w:val="18"/>
          <w:szCs w:val="18"/>
        </w:rPr>
        <w:endnoteRef/>
      </w:r>
      <w:r w:rsidRPr="004013C4">
        <w:rPr>
          <w:sz w:val="18"/>
          <w:szCs w:val="18"/>
        </w:rPr>
        <w:t xml:space="preserve"> M</w:t>
      </w:r>
      <w:r w:rsidRPr="004013C4">
        <w:rPr>
          <w:sz w:val="18"/>
          <w:szCs w:val="18"/>
          <w:lang w:val="mi-NZ"/>
        </w:rPr>
        <w:t>ā</w:t>
      </w:r>
      <w:r w:rsidRPr="004013C4">
        <w:rPr>
          <w:sz w:val="18"/>
          <w:szCs w:val="18"/>
        </w:rPr>
        <w:t xml:space="preserve">ori Affairs Committee, </w:t>
      </w:r>
      <w:hyperlink r:id="rId6" w:history="1">
        <w:r w:rsidRPr="00714350">
          <w:rPr>
            <w:rStyle w:val="Hyperlink"/>
            <w:i/>
            <w:sz w:val="18"/>
            <w:szCs w:val="18"/>
          </w:rPr>
          <w:t xml:space="preserve">Petition of Pania Newton for Save Our Unique Landscape: Protect </w:t>
        </w:r>
        <w:r w:rsidRPr="00744960">
          <w:rPr>
            <w:rStyle w:val="Hyperlink"/>
            <w:i/>
            <w:sz w:val="18"/>
            <w:szCs w:val="18"/>
          </w:rPr>
          <w:t xml:space="preserve">Ihumātao </w:t>
        </w:r>
        <w:r w:rsidRPr="00714350">
          <w:rPr>
            <w:rStyle w:val="Hyperlink"/>
            <w:i/>
            <w:sz w:val="18"/>
            <w:szCs w:val="18"/>
          </w:rPr>
          <w:t>– Report of the Māori Affairs Committee</w:t>
        </w:r>
      </w:hyperlink>
      <w:r w:rsidRPr="004013C4">
        <w:rPr>
          <w:sz w:val="18"/>
          <w:szCs w:val="18"/>
        </w:rPr>
        <w:t xml:space="preserve"> (July 2019).</w:t>
      </w:r>
    </w:p>
  </w:endnote>
  <w:endnote w:id="18">
    <w:p w14:paraId="118D5119" w14:textId="1E447860" w:rsidR="00B417E2" w:rsidRPr="004013C4" w:rsidRDefault="00B417E2" w:rsidP="00AA489C">
      <w:pPr>
        <w:pStyle w:val="EndnoteText"/>
        <w:spacing w:after="120"/>
        <w:rPr>
          <w:sz w:val="18"/>
          <w:szCs w:val="18"/>
          <w:lang w:val="en-US"/>
        </w:rPr>
      </w:pPr>
      <w:r w:rsidRPr="00714350">
        <w:rPr>
          <w:rStyle w:val="EndnoteReference"/>
          <w:sz w:val="18"/>
          <w:szCs w:val="18"/>
        </w:rPr>
        <w:endnoteRef/>
      </w:r>
      <w:r w:rsidRPr="00CA58FD">
        <w:rPr>
          <w:sz w:val="18"/>
          <w:szCs w:val="18"/>
        </w:rPr>
        <w:t xml:space="preserve"> </w:t>
      </w:r>
      <w:hyperlink r:id="rId7" w:history="1">
        <w:r w:rsidRPr="001D5EB0">
          <w:rPr>
            <w:rStyle w:val="Hyperlink"/>
            <w:sz w:val="18"/>
            <w:szCs w:val="18"/>
          </w:rPr>
          <w:t>Shadow Report to the Committee on the Elimination of All Forms of Racial Discrimination on Special Housing Area 62 in Ihumātao, Mangere, Aotearoa</w:t>
        </w:r>
      </w:hyperlink>
      <w:r w:rsidRPr="001D5EB0">
        <w:rPr>
          <w:sz w:val="18"/>
          <w:szCs w:val="18"/>
        </w:rPr>
        <w:t>, presented by Pania Newton on behalf of Save Our Unique Landscape (SOUL), 6 July 2017.</w:t>
      </w:r>
    </w:p>
  </w:endnote>
  <w:endnote w:id="19">
    <w:p w14:paraId="5F4BC0F0" w14:textId="41547117" w:rsidR="00B417E2" w:rsidRPr="004013C4" w:rsidRDefault="00B417E2" w:rsidP="00AA489C">
      <w:pPr>
        <w:pStyle w:val="EndnoteText"/>
        <w:spacing w:after="120"/>
        <w:rPr>
          <w:sz w:val="18"/>
          <w:szCs w:val="18"/>
          <w:lang w:val="en-US"/>
        </w:rPr>
      </w:pPr>
      <w:r w:rsidRPr="00714350">
        <w:rPr>
          <w:rStyle w:val="EndnoteReference"/>
          <w:sz w:val="18"/>
          <w:szCs w:val="18"/>
        </w:rPr>
        <w:endnoteRef/>
      </w:r>
      <w:r w:rsidRPr="004013C4">
        <w:rPr>
          <w:sz w:val="18"/>
          <w:szCs w:val="18"/>
        </w:rPr>
        <w:t xml:space="preserve"> </w:t>
      </w:r>
      <w:hyperlink r:id="rId8" w:history="1">
        <w:r w:rsidRPr="00714350">
          <w:rPr>
            <w:rStyle w:val="Hyperlink"/>
            <w:i/>
            <w:sz w:val="18"/>
            <w:szCs w:val="18"/>
          </w:rPr>
          <w:t>Mandates of the Special Rapporteur on adequate housing as a component of the right to an adequate standard of living and on the right to non-discrimination in this context and the Special Rapporteur on the rights of indigenous peoples</w:t>
        </w:r>
      </w:hyperlink>
      <w:r w:rsidRPr="004013C4">
        <w:rPr>
          <w:sz w:val="18"/>
          <w:szCs w:val="18"/>
        </w:rPr>
        <w:t>, (AL NZL 1/2019, 22 March 2019).</w:t>
      </w:r>
    </w:p>
  </w:endnote>
  <w:endnote w:id="20">
    <w:p w14:paraId="46469779" w14:textId="5F958660" w:rsidR="00B417E2" w:rsidRPr="004013C4" w:rsidRDefault="00B417E2" w:rsidP="00AA489C">
      <w:pPr>
        <w:pStyle w:val="EndnoteText"/>
        <w:spacing w:after="120"/>
        <w:rPr>
          <w:sz w:val="18"/>
          <w:szCs w:val="18"/>
          <w:lang w:val="en-US"/>
        </w:rPr>
      </w:pPr>
      <w:r w:rsidRPr="00714350">
        <w:rPr>
          <w:rStyle w:val="EndnoteReference"/>
          <w:sz w:val="18"/>
          <w:szCs w:val="18"/>
        </w:rPr>
        <w:endnoteRef/>
      </w:r>
      <w:r w:rsidRPr="004013C4">
        <w:rPr>
          <w:sz w:val="18"/>
          <w:szCs w:val="18"/>
        </w:rPr>
        <w:t xml:space="preserve"> Te Arawhiti, </w:t>
      </w:r>
      <w:hyperlink r:id="rId9" w:history="1">
        <w:r w:rsidRPr="00714350">
          <w:rPr>
            <w:rStyle w:val="Hyperlink"/>
            <w:sz w:val="18"/>
            <w:szCs w:val="18"/>
          </w:rPr>
          <w:t>Advice for the Māori Affairs Committee regarding the Petition of Pania Newton for Save Our Uni</w:t>
        </w:r>
        <w:r>
          <w:rPr>
            <w:rStyle w:val="Hyperlink"/>
            <w:sz w:val="18"/>
            <w:szCs w:val="18"/>
          </w:rPr>
          <w:t>q</w:t>
        </w:r>
        <w:r w:rsidRPr="00714350">
          <w:rPr>
            <w:rStyle w:val="Hyperlink"/>
            <w:sz w:val="18"/>
            <w:szCs w:val="18"/>
          </w:rPr>
          <w:t>ue Landscape: Protect Ihumātao</w:t>
        </w:r>
      </w:hyperlink>
      <w:r w:rsidRPr="004013C4">
        <w:rPr>
          <w:sz w:val="18"/>
          <w:szCs w:val="18"/>
        </w:rPr>
        <w:t xml:space="preserve"> (24 June 2019).</w:t>
      </w:r>
    </w:p>
  </w:endnote>
  <w:endnote w:id="21">
    <w:p w14:paraId="48AA225E" w14:textId="42E889D2" w:rsidR="00B417E2" w:rsidRPr="00714350" w:rsidRDefault="00B417E2" w:rsidP="00AA489C">
      <w:pPr>
        <w:pStyle w:val="EndnoteText"/>
        <w:spacing w:after="120"/>
        <w:rPr>
          <w:sz w:val="18"/>
          <w:szCs w:val="18"/>
          <w:lang w:val="mi-NZ"/>
        </w:rPr>
      </w:pPr>
      <w:r w:rsidRPr="00714350">
        <w:rPr>
          <w:rStyle w:val="EndnoteReference"/>
          <w:sz w:val="18"/>
          <w:szCs w:val="18"/>
        </w:rPr>
        <w:endnoteRef/>
      </w:r>
      <w:r w:rsidRPr="00714350">
        <w:rPr>
          <w:sz w:val="18"/>
          <w:szCs w:val="18"/>
        </w:rPr>
        <w:t xml:space="preserve"> </w:t>
      </w:r>
      <w:r w:rsidRPr="004013C4">
        <w:rPr>
          <w:sz w:val="18"/>
          <w:szCs w:val="18"/>
          <w:lang w:val="en-US"/>
        </w:rPr>
        <w:t xml:space="preserve">The Independent Working Group on Constitutional Transformation, </w:t>
      </w:r>
      <w:hyperlink r:id="rId10" w:history="1">
        <w:r w:rsidRPr="00714350">
          <w:rPr>
            <w:rStyle w:val="Hyperlink"/>
            <w:i/>
            <w:sz w:val="18"/>
            <w:szCs w:val="18"/>
            <w:lang w:val="en-US"/>
          </w:rPr>
          <w:t>He Whakaaro Here Whakaumu Mo Aotearoa: The Report of Matike Mai Aotearoa</w:t>
        </w:r>
      </w:hyperlink>
      <w:r w:rsidRPr="004013C4">
        <w:rPr>
          <w:sz w:val="18"/>
          <w:szCs w:val="18"/>
          <w:lang w:val="en-US"/>
        </w:rPr>
        <w:t xml:space="preserve"> (2016), at 40</w:t>
      </w:r>
      <w:r w:rsidRPr="00714350">
        <w:rPr>
          <w:sz w:val="18"/>
          <w:szCs w:val="18"/>
        </w:rPr>
        <w:t xml:space="preserve"> states “</w:t>
      </w:r>
      <w:r w:rsidRPr="00714350">
        <w:rPr>
          <w:i/>
          <w:sz w:val="18"/>
          <w:szCs w:val="18"/>
        </w:rPr>
        <w:t>tikanga may be defined as both a law and a discrete set of values. As a practical law it influenced everything from the political organisation of Iwi and Hapū to the social interactions of individuals. As a set of values it summed up what was important in the Māori world view – it is the “ought to be” of Māori existence</w:t>
      </w:r>
      <w:r w:rsidRPr="00714350">
        <w:rPr>
          <w:sz w:val="18"/>
          <w:szCs w:val="18"/>
        </w:rPr>
        <w:t xml:space="preserve">.”   </w:t>
      </w:r>
    </w:p>
  </w:endnote>
  <w:endnote w:id="22">
    <w:p w14:paraId="3BA68E11" w14:textId="75519C0E" w:rsidR="00B417E2" w:rsidRPr="004013C4" w:rsidRDefault="00B417E2" w:rsidP="00AA489C">
      <w:pPr>
        <w:pStyle w:val="EndnoteText"/>
        <w:spacing w:after="120"/>
        <w:rPr>
          <w:sz w:val="18"/>
          <w:szCs w:val="18"/>
          <w:lang w:val="en-US"/>
        </w:rPr>
      </w:pPr>
      <w:r w:rsidRPr="004013C4">
        <w:rPr>
          <w:rStyle w:val="EndnoteReference"/>
          <w:sz w:val="18"/>
          <w:szCs w:val="18"/>
        </w:rPr>
        <w:endnoteRef/>
      </w:r>
      <w:r w:rsidRPr="004013C4">
        <w:rPr>
          <w:sz w:val="18"/>
          <w:szCs w:val="18"/>
        </w:rPr>
        <w:t xml:space="preserve"> Te Aho, L., ‘Tikanga Māori, Historical Context and the Interface with Pākehā Law in Aotearoa/New Zealand’, in (2007) 10 </w:t>
      </w:r>
      <w:r w:rsidRPr="004013C4">
        <w:rPr>
          <w:i/>
          <w:iCs/>
          <w:sz w:val="18"/>
          <w:szCs w:val="18"/>
        </w:rPr>
        <w:t>Yearbook of New Zealand Jurisprudence</w:t>
      </w:r>
      <w:r>
        <w:rPr>
          <w:i/>
          <w:iCs/>
          <w:sz w:val="18"/>
          <w:szCs w:val="18"/>
        </w:rPr>
        <w:t>.</w:t>
      </w:r>
    </w:p>
  </w:endnote>
  <w:endnote w:id="23">
    <w:p w14:paraId="58CEE7B2" w14:textId="06510924" w:rsidR="00B417E2" w:rsidRPr="004013C4" w:rsidRDefault="00B417E2" w:rsidP="00AA489C">
      <w:pPr>
        <w:pStyle w:val="EndnoteText"/>
        <w:spacing w:after="120"/>
        <w:jc w:val="left"/>
        <w:rPr>
          <w:sz w:val="18"/>
          <w:szCs w:val="18"/>
          <w:lang w:val="en-US"/>
        </w:rPr>
      </w:pPr>
      <w:r w:rsidRPr="004013C4">
        <w:rPr>
          <w:rStyle w:val="EndnoteReference"/>
          <w:sz w:val="18"/>
          <w:szCs w:val="18"/>
        </w:rPr>
        <w:endnoteRef/>
      </w:r>
      <w:r w:rsidRPr="004013C4">
        <w:rPr>
          <w:sz w:val="18"/>
          <w:szCs w:val="18"/>
        </w:rPr>
        <w:t xml:space="preserve"> Justice Joseph Williams, Harkness Henry Lecture</w:t>
      </w:r>
      <w:hyperlink r:id="rId11" w:history="1">
        <w:r w:rsidRPr="004013C4">
          <w:rPr>
            <w:rStyle w:val="Hyperlink"/>
            <w:sz w:val="18"/>
            <w:szCs w:val="18"/>
          </w:rPr>
          <w:t>https://www.courtsofnz.govt.nz/speechpapers/Williams%20J%20Harkness%20Henry%20Lecture%20Lex%20Aotearoa.pdf/at_download/file</w:t>
        </w:r>
      </w:hyperlink>
      <w:r>
        <w:rPr>
          <w:rStyle w:val="Hyperlink"/>
          <w:sz w:val="18"/>
          <w:szCs w:val="18"/>
        </w:rPr>
        <w:t>.</w:t>
      </w:r>
    </w:p>
  </w:endnote>
  <w:endnote w:id="24">
    <w:p w14:paraId="527FB770" w14:textId="4EF6C532" w:rsidR="00B417E2" w:rsidRPr="004013C4" w:rsidRDefault="00B417E2" w:rsidP="00AA489C">
      <w:pPr>
        <w:pStyle w:val="EndnoteText"/>
        <w:spacing w:after="120"/>
        <w:rPr>
          <w:sz w:val="18"/>
          <w:szCs w:val="18"/>
          <w:lang w:val="en-US"/>
        </w:rPr>
      </w:pPr>
      <w:r w:rsidRPr="004013C4">
        <w:rPr>
          <w:rStyle w:val="EndnoteReference"/>
          <w:sz w:val="18"/>
          <w:szCs w:val="18"/>
        </w:rPr>
        <w:endnoteRef/>
      </w:r>
      <w:r w:rsidRPr="004013C4">
        <w:rPr>
          <w:sz w:val="18"/>
          <w:szCs w:val="18"/>
        </w:rPr>
        <w:t xml:space="preserve"> Waitangi Tribunal, </w:t>
      </w:r>
      <w:hyperlink r:id="rId12" w:history="1">
        <w:r w:rsidRPr="004013C4">
          <w:rPr>
            <w:rStyle w:val="Hyperlink"/>
            <w:i/>
            <w:sz w:val="18"/>
            <w:szCs w:val="18"/>
          </w:rPr>
          <w:t>Ko Aotearoa Tenei – Vol 1</w:t>
        </w:r>
      </w:hyperlink>
      <w:r w:rsidRPr="004013C4">
        <w:rPr>
          <w:sz w:val="18"/>
          <w:szCs w:val="18"/>
        </w:rPr>
        <w:t>, (Wai 262, 2011) at 244</w:t>
      </w:r>
      <w:r>
        <w:rPr>
          <w:sz w:val="18"/>
          <w:szCs w:val="18"/>
        </w:rPr>
        <w:t>.</w:t>
      </w:r>
    </w:p>
  </w:endnote>
  <w:endnote w:id="25">
    <w:p w14:paraId="0D866C75" w14:textId="2605CA3A"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Waitangi Tribunal, </w:t>
      </w:r>
      <w:r w:rsidRPr="004013C4">
        <w:rPr>
          <w:i/>
          <w:sz w:val="18"/>
          <w:szCs w:val="18"/>
        </w:rPr>
        <w:t xml:space="preserve">In Pursuit of Mana Motuhake: Report on the  Māori Community Development Act Claim </w:t>
      </w:r>
      <w:r w:rsidRPr="004013C4">
        <w:rPr>
          <w:sz w:val="18"/>
          <w:szCs w:val="18"/>
        </w:rPr>
        <w:t>(</w:t>
      </w:r>
      <w:r w:rsidRPr="004013C4">
        <w:rPr>
          <w:sz w:val="18"/>
          <w:szCs w:val="18"/>
          <w:lang w:val="mi-NZ"/>
        </w:rPr>
        <w:t xml:space="preserve">Wai 2417, 2015) </w:t>
      </w:r>
      <w:hyperlink r:id="rId13" w:history="1">
        <w:r w:rsidRPr="00714350">
          <w:rPr>
            <w:rStyle w:val="Hyperlink"/>
            <w:sz w:val="18"/>
            <w:szCs w:val="18"/>
            <w:lang w:val="mi-NZ"/>
          </w:rPr>
          <w:t xml:space="preserve">Doc A10 Dr </w:t>
        </w:r>
        <w:r w:rsidRPr="00714350">
          <w:rPr>
            <w:rStyle w:val="Hyperlink"/>
            <w:sz w:val="18"/>
            <w:szCs w:val="18"/>
          </w:rPr>
          <w:t>Claire Charters Brief of Evidence</w:t>
        </w:r>
      </w:hyperlink>
      <w:r w:rsidRPr="004013C4">
        <w:rPr>
          <w:sz w:val="18"/>
          <w:szCs w:val="18"/>
        </w:rPr>
        <w:t xml:space="preserve">, </w:t>
      </w:r>
      <w:r w:rsidRPr="004013C4">
        <w:rPr>
          <w:sz w:val="18"/>
          <w:szCs w:val="18"/>
          <w:lang w:val="mi-NZ"/>
        </w:rPr>
        <w:t>at [9].</w:t>
      </w:r>
    </w:p>
  </w:endnote>
  <w:endnote w:id="26">
    <w:p w14:paraId="3FEFE232" w14:textId="77777777" w:rsidR="00B417E2" w:rsidRPr="00714350" w:rsidRDefault="00B417E2" w:rsidP="00AA489C">
      <w:pPr>
        <w:pStyle w:val="EndnoteText"/>
        <w:spacing w:after="120"/>
        <w:rPr>
          <w:sz w:val="18"/>
          <w:szCs w:val="18"/>
          <w:lang w:val="mi-NZ"/>
        </w:rPr>
      </w:pPr>
      <w:r w:rsidRPr="00714350">
        <w:rPr>
          <w:rStyle w:val="EndnoteReference"/>
          <w:sz w:val="18"/>
          <w:szCs w:val="18"/>
        </w:rPr>
        <w:endnoteRef/>
      </w:r>
      <w:r w:rsidRPr="00714350">
        <w:rPr>
          <w:sz w:val="18"/>
          <w:szCs w:val="18"/>
        </w:rPr>
        <w:t xml:space="preserve"> Waitangi Tribunal, </w:t>
      </w:r>
      <w:hyperlink r:id="rId14" w:history="1">
        <w:r w:rsidRPr="00714350">
          <w:rPr>
            <w:rStyle w:val="Hyperlink"/>
            <w:i/>
            <w:sz w:val="18"/>
            <w:szCs w:val="18"/>
          </w:rPr>
          <w:t>Ko Aotearoa Tenei – Vol 1</w:t>
        </w:r>
      </w:hyperlink>
      <w:r w:rsidRPr="00714350">
        <w:rPr>
          <w:sz w:val="18"/>
          <w:szCs w:val="18"/>
        </w:rPr>
        <w:t>, (Wai 262, 2011) at 233.</w:t>
      </w:r>
    </w:p>
  </w:endnote>
  <w:endnote w:id="27">
    <w:p w14:paraId="70C58106" w14:textId="77777777"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Waitangi Tribunal, </w:t>
      </w:r>
      <w:hyperlink r:id="rId15" w:history="1">
        <w:r w:rsidRPr="00714350">
          <w:rPr>
            <w:rStyle w:val="Hyperlink"/>
            <w:i/>
            <w:sz w:val="18"/>
            <w:szCs w:val="18"/>
          </w:rPr>
          <w:t>In Pursuit of Mana Motuhake: Report on the  Māori Community Development Act Claim</w:t>
        </w:r>
      </w:hyperlink>
      <w:r w:rsidRPr="004013C4">
        <w:rPr>
          <w:i/>
          <w:sz w:val="18"/>
          <w:szCs w:val="18"/>
        </w:rPr>
        <w:t xml:space="preserve"> </w:t>
      </w:r>
      <w:r w:rsidRPr="004013C4">
        <w:rPr>
          <w:sz w:val="18"/>
          <w:szCs w:val="18"/>
        </w:rPr>
        <w:t>(</w:t>
      </w:r>
      <w:r w:rsidRPr="004013C4">
        <w:rPr>
          <w:sz w:val="18"/>
          <w:szCs w:val="18"/>
          <w:lang w:val="mi-NZ"/>
        </w:rPr>
        <w:t>Wai 2417, 2015) at 38.</w:t>
      </w:r>
    </w:p>
  </w:endnote>
  <w:endnote w:id="28">
    <w:p w14:paraId="63F3B811" w14:textId="6DD84BA5" w:rsidR="00B417E2" w:rsidRPr="004013C4" w:rsidRDefault="00B417E2" w:rsidP="00AA489C">
      <w:pPr>
        <w:pStyle w:val="EndnoteText"/>
        <w:spacing w:after="120"/>
        <w:rPr>
          <w:sz w:val="18"/>
          <w:szCs w:val="18"/>
        </w:rPr>
      </w:pPr>
      <w:r w:rsidRPr="00714350">
        <w:rPr>
          <w:rStyle w:val="EndnoteReference"/>
          <w:sz w:val="18"/>
          <w:szCs w:val="18"/>
        </w:rPr>
        <w:endnoteRef/>
      </w:r>
      <w:r w:rsidRPr="004013C4">
        <w:rPr>
          <w:sz w:val="18"/>
          <w:szCs w:val="18"/>
        </w:rPr>
        <w:t xml:space="preserve"> Ngāti Whātua Ōrākei Trust v Attorney-General  [2018] NZSC 84, Wakatu v Attorney-General [2017] NZSC 17, New Zealand M</w:t>
      </w:r>
      <w:r>
        <w:rPr>
          <w:sz w:val="18"/>
          <w:szCs w:val="18"/>
        </w:rPr>
        <w:t>ā</w:t>
      </w:r>
      <w:r w:rsidRPr="004013C4">
        <w:rPr>
          <w:sz w:val="18"/>
          <w:szCs w:val="18"/>
        </w:rPr>
        <w:t>ori Council v Attorney-General [2013] NZSC 6 at [92]; see also Paki v Attorney-General (No 2) [2014] NZSC 118; Takamore v Clarke [2012] NZSC 116.</w:t>
      </w:r>
    </w:p>
  </w:endnote>
  <w:endnote w:id="29">
    <w:p w14:paraId="5C83AD78" w14:textId="24CB405F"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The Declaration, </w:t>
      </w:r>
      <w:r w:rsidRPr="004013C4">
        <w:rPr>
          <w:sz w:val="18"/>
          <w:szCs w:val="18"/>
          <w:lang w:val="mi-NZ"/>
        </w:rPr>
        <w:t>Article 1.</w:t>
      </w:r>
    </w:p>
  </w:endnote>
  <w:endnote w:id="30">
    <w:p w14:paraId="38E13604" w14:textId="008623AB"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w:t>
      </w:r>
      <w:r>
        <w:rPr>
          <w:sz w:val="18"/>
          <w:szCs w:val="18"/>
        </w:rPr>
        <w:t>Ibid</w:t>
      </w:r>
      <w:r w:rsidRPr="004013C4">
        <w:rPr>
          <w:sz w:val="18"/>
          <w:szCs w:val="18"/>
        </w:rPr>
        <w:t xml:space="preserve">, </w:t>
      </w:r>
      <w:r w:rsidRPr="004013C4">
        <w:rPr>
          <w:sz w:val="18"/>
          <w:szCs w:val="18"/>
          <w:lang w:val="mi-NZ"/>
        </w:rPr>
        <w:t>Article 11.</w:t>
      </w:r>
    </w:p>
  </w:endnote>
  <w:endnote w:id="31">
    <w:p w14:paraId="4E3DD350" w14:textId="0BCC02F1"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w:t>
      </w:r>
      <w:r>
        <w:rPr>
          <w:sz w:val="18"/>
          <w:szCs w:val="18"/>
        </w:rPr>
        <w:t>Ibid</w:t>
      </w:r>
      <w:r w:rsidRPr="004013C4">
        <w:rPr>
          <w:sz w:val="18"/>
          <w:szCs w:val="18"/>
        </w:rPr>
        <w:t xml:space="preserve">, </w:t>
      </w:r>
      <w:r w:rsidRPr="004013C4">
        <w:rPr>
          <w:sz w:val="18"/>
          <w:szCs w:val="18"/>
          <w:lang w:val="mi-NZ"/>
        </w:rPr>
        <w:t>Article 26.</w:t>
      </w:r>
    </w:p>
  </w:endnote>
  <w:endnote w:id="32">
    <w:p w14:paraId="49967F06" w14:textId="62B07895"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w:t>
      </w:r>
      <w:r>
        <w:rPr>
          <w:sz w:val="18"/>
          <w:szCs w:val="18"/>
        </w:rPr>
        <w:t>Ibid</w:t>
      </w:r>
      <w:r w:rsidRPr="004013C4">
        <w:rPr>
          <w:sz w:val="18"/>
          <w:szCs w:val="18"/>
        </w:rPr>
        <w:t xml:space="preserve">, </w:t>
      </w:r>
      <w:r w:rsidRPr="004013C4">
        <w:rPr>
          <w:sz w:val="18"/>
          <w:szCs w:val="18"/>
          <w:lang w:val="mi-NZ"/>
        </w:rPr>
        <w:t>Article 25.</w:t>
      </w:r>
    </w:p>
  </w:endnote>
  <w:endnote w:id="33">
    <w:p w14:paraId="2E70F0EF" w14:textId="46BF3FEF"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w:t>
      </w:r>
      <w:r>
        <w:rPr>
          <w:sz w:val="18"/>
          <w:szCs w:val="18"/>
        </w:rPr>
        <w:t>Ibid</w:t>
      </w:r>
      <w:r w:rsidRPr="004013C4">
        <w:rPr>
          <w:sz w:val="18"/>
          <w:szCs w:val="18"/>
        </w:rPr>
        <w:t xml:space="preserve">, </w:t>
      </w:r>
      <w:r w:rsidRPr="004013C4">
        <w:rPr>
          <w:sz w:val="18"/>
          <w:szCs w:val="18"/>
          <w:lang w:val="mi-NZ"/>
        </w:rPr>
        <w:t>Article 28.</w:t>
      </w:r>
    </w:p>
  </w:endnote>
  <w:endnote w:id="34">
    <w:p w14:paraId="170E77E2" w14:textId="118DE047" w:rsidR="00B417E2" w:rsidRPr="004013C4" w:rsidRDefault="00B417E2" w:rsidP="00AA489C">
      <w:pPr>
        <w:pStyle w:val="EndnoteText"/>
        <w:spacing w:after="120"/>
        <w:rPr>
          <w:sz w:val="18"/>
          <w:szCs w:val="18"/>
          <w:lang w:val="mi-NZ"/>
        </w:rPr>
      </w:pPr>
      <w:r w:rsidRPr="00714350">
        <w:rPr>
          <w:rStyle w:val="EndnoteReference"/>
          <w:sz w:val="18"/>
          <w:szCs w:val="18"/>
        </w:rPr>
        <w:endnoteRef/>
      </w:r>
      <w:r>
        <w:rPr>
          <w:sz w:val="18"/>
          <w:szCs w:val="18"/>
        </w:rPr>
        <w:t xml:space="preserve"> Ibid</w:t>
      </w:r>
      <w:r w:rsidRPr="004013C4">
        <w:rPr>
          <w:sz w:val="18"/>
          <w:szCs w:val="18"/>
        </w:rPr>
        <w:t xml:space="preserve">, </w:t>
      </w:r>
      <w:r w:rsidRPr="004013C4">
        <w:rPr>
          <w:sz w:val="18"/>
          <w:szCs w:val="18"/>
          <w:lang w:val="mi-NZ"/>
        </w:rPr>
        <w:t>Article 19.</w:t>
      </w:r>
    </w:p>
  </w:endnote>
  <w:endnote w:id="35">
    <w:p w14:paraId="4CCA0E9C" w14:textId="03BC72C6"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New Zealand M</w:t>
      </w:r>
      <w:r>
        <w:rPr>
          <w:sz w:val="18"/>
          <w:szCs w:val="18"/>
        </w:rPr>
        <w:t>ā</w:t>
      </w:r>
      <w:r w:rsidRPr="004013C4">
        <w:rPr>
          <w:sz w:val="18"/>
          <w:szCs w:val="18"/>
        </w:rPr>
        <w:t>ori Council v Attorney-General [2013] NZSC 6.</w:t>
      </w:r>
    </w:p>
  </w:endnote>
  <w:endnote w:id="36">
    <w:p w14:paraId="74E31266" w14:textId="06B5A4D9"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Waitangi Tribunal, In Pursuit of Mana Motuhake: Report on the Māori Community Development Act Claim (</w:t>
      </w:r>
      <w:r w:rsidRPr="004013C4">
        <w:rPr>
          <w:sz w:val="18"/>
          <w:szCs w:val="18"/>
          <w:lang w:val="mi-NZ"/>
        </w:rPr>
        <w:t>Wai 2417, 2015) at [2.5.4(3)].</w:t>
      </w:r>
    </w:p>
  </w:endnote>
  <w:endnote w:id="37">
    <w:p w14:paraId="69EBB42D" w14:textId="6F8BD158"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w:t>
      </w:r>
      <w:r w:rsidRPr="00714350">
        <w:rPr>
          <w:rStyle w:val="normaltextrun"/>
          <w:color w:val="000000"/>
          <w:sz w:val="18"/>
          <w:szCs w:val="18"/>
          <w:shd w:val="clear" w:color="auto" w:fill="FFFFFF"/>
          <w:lang w:val="en-US"/>
        </w:rPr>
        <w:t xml:space="preserve">Waitangi Tribunal, </w:t>
      </w:r>
      <w:hyperlink r:id="rId16" w:history="1">
        <w:r w:rsidRPr="00714350">
          <w:rPr>
            <w:rStyle w:val="Hyperlink"/>
            <w:i/>
            <w:sz w:val="18"/>
            <w:szCs w:val="18"/>
            <w:shd w:val="clear" w:color="auto" w:fill="FFFFFF"/>
            <w:lang w:val="en-US"/>
          </w:rPr>
          <w:t>He Kura Whenua ka Rokohanga: Report on Claims about the Reform of Te Ture Whenua Māori Act 1993</w:t>
        </w:r>
      </w:hyperlink>
      <w:r w:rsidRPr="00714350">
        <w:rPr>
          <w:rStyle w:val="normaltextrun"/>
          <w:color w:val="000000"/>
          <w:sz w:val="18"/>
          <w:szCs w:val="18"/>
          <w:shd w:val="clear" w:color="auto" w:fill="FFFFFF"/>
          <w:lang w:val="en-US"/>
        </w:rPr>
        <w:t xml:space="preserve">, (Wai 2478, 2016) at 236; Waitangi Tribunal, </w:t>
      </w:r>
      <w:hyperlink r:id="rId17" w:history="1">
        <w:r w:rsidRPr="00714350">
          <w:rPr>
            <w:rStyle w:val="Hyperlink"/>
            <w:i/>
            <w:sz w:val="18"/>
            <w:szCs w:val="18"/>
            <w:shd w:val="clear" w:color="auto" w:fill="FFFFFF"/>
            <w:lang w:val="en-US"/>
          </w:rPr>
          <w:t>Ko Aotearoa Tēnei: Report into Claims Concerning New Zealand Law and Policy Affecting M</w:t>
        </w:r>
        <w:r>
          <w:rPr>
            <w:rStyle w:val="Hyperlink"/>
            <w:i/>
            <w:sz w:val="18"/>
            <w:szCs w:val="18"/>
            <w:shd w:val="clear" w:color="auto" w:fill="FFFFFF"/>
            <w:lang w:val="en-US"/>
          </w:rPr>
          <w:t>ā</w:t>
        </w:r>
        <w:r w:rsidRPr="00714350">
          <w:rPr>
            <w:rStyle w:val="Hyperlink"/>
            <w:i/>
            <w:sz w:val="18"/>
            <w:szCs w:val="18"/>
            <w:shd w:val="clear" w:color="auto" w:fill="FFFFFF"/>
            <w:lang w:val="en-US"/>
          </w:rPr>
          <w:t>ori Culture and Identity</w:t>
        </w:r>
        <w:r w:rsidRPr="00714350">
          <w:rPr>
            <w:rStyle w:val="Hyperlink"/>
            <w:sz w:val="18"/>
            <w:szCs w:val="18"/>
            <w:shd w:val="clear" w:color="auto" w:fill="FFFFFF"/>
            <w:lang w:val="en-US"/>
          </w:rPr>
          <w:t> </w:t>
        </w:r>
      </w:hyperlink>
      <w:r w:rsidRPr="00714350">
        <w:rPr>
          <w:rStyle w:val="normaltextrun"/>
          <w:color w:val="000000"/>
          <w:sz w:val="18"/>
          <w:szCs w:val="18"/>
          <w:shd w:val="clear" w:color="auto" w:fill="FFFFFF"/>
          <w:lang w:val="en-US"/>
        </w:rPr>
        <w:t>(Wai 262, 2011), at 237; Waitangi Tribunal,</w:t>
      </w:r>
      <w:r w:rsidRPr="00714350">
        <w:rPr>
          <w:rStyle w:val="eop"/>
          <w:color w:val="000000"/>
          <w:sz w:val="18"/>
          <w:szCs w:val="18"/>
          <w:shd w:val="clear" w:color="auto" w:fill="FFFFFF"/>
        </w:rPr>
        <w:t xml:space="preserve"> </w:t>
      </w:r>
      <w:hyperlink r:id="rId18" w:history="1">
        <w:r w:rsidRPr="00714350">
          <w:rPr>
            <w:rStyle w:val="Hyperlink"/>
            <w:i/>
            <w:sz w:val="18"/>
            <w:szCs w:val="18"/>
            <w:shd w:val="clear" w:color="auto" w:fill="FFFFFF"/>
          </w:rPr>
          <w:t>Tū Mai te Rangi! Report on the Crown and Disproportionate Reoffending Rates</w:t>
        </w:r>
      </w:hyperlink>
      <w:r w:rsidRPr="00714350">
        <w:rPr>
          <w:rStyle w:val="eop"/>
          <w:color w:val="000000"/>
          <w:sz w:val="18"/>
          <w:szCs w:val="18"/>
          <w:shd w:val="clear" w:color="auto" w:fill="FFFFFF"/>
        </w:rPr>
        <w:t xml:space="preserve"> (Wai 2540, 2017). </w:t>
      </w:r>
    </w:p>
  </w:endnote>
  <w:endnote w:id="38">
    <w:p w14:paraId="2CC1AF0A" w14:textId="77777777" w:rsidR="00B417E2" w:rsidRPr="004013C4" w:rsidRDefault="00B417E2" w:rsidP="00AA489C">
      <w:pPr>
        <w:pStyle w:val="EndnoteText"/>
        <w:spacing w:after="120"/>
        <w:rPr>
          <w:sz w:val="18"/>
          <w:szCs w:val="18"/>
        </w:rPr>
      </w:pPr>
      <w:r w:rsidRPr="00714350">
        <w:rPr>
          <w:rStyle w:val="EndnoteReference"/>
          <w:sz w:val="18"/>
          <w:szCs w:val="18"/>
        </w:rPr>
        <w:endnoteRef/>
      </w:r>
      <w:r w:rsidRPr="004013C4">
        <w:rPr>
          <w:sz w:val="18"/>
          <w:szCs w:val="18"/>
        </w:rPr>
        <w:t xml:space="preserve"> The Declaration, Article 26.</w:t>
      </w:r>
    </w:p>
  </w:endnote>
  <w:endnote w:id="39">
    <w:p w14:paraId="550003A8" w14:textId="61EB1EBE"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w:t>
      </w:r>
      <w:r>
        <w:rPr>
          <w:sz w:val="18"/>
          <w:szCs w:val="18"/>
          <w:lang w:val="en-US"/>
        </w:rPr>
        <w:t>Ibid,</w:t>
      </w:r>
      <w:r w:rsidRPr="00714350">
        <w:rPr>
          <w:sz w:val="18"/>
          <w:szCs w:val="18"/>
          <w:lang w:val="en-US"/>
        </w:rPr>
        <w:t xml:space="preserve"> Article 32</w:t>
      </w:r>
      <w:r>
        <w:rPr>
          <w:sz w:val="18"/>
          <w:szCs w:val="18"/>
          <w:lang w:val="en-US"/>
        </w:rPr>
        <w:t>.</w:t>
      </w:r>
    </w:p>
  </w:endnote>
  <w:endnote w:id="40">
    <w:p w14:paraId="31B5B189" w14:textId="7792A01F" w:rsidR="00B417E2" w:rsidRPr="004013C4" w:rsidRDefault="00B417E2" w:rsidP="00AA489C">
      <w:pPr>
        <w:pStyle w:val="EndnoteText"/>
        <w:spacing w:after="120"/>
        <w:rPr>
          <w:sz w:val="18"/>
          <w:szCs w:val="18"/>
        </w:rPr>
      </w:pPr>
      <w:r w:rsidRPr="00714350">
        <w:rPr>
          <w:rStyle w:val="EndnoteReference"/>
          <w:sz w:val="18"/>
          <w:szCs w:val="18"/>
        </w:rPr>
        <w:endnoteRef/>
      </w:r>
      <w:r w:rsidRPr="004013C4">
        <w:rPr>
          <w:sz w:val="18"/>
          <w:szCs w:val="18"/>
        </w:rPr>
        <w:t xml:space="preserve"> </w:t>
      </w:r>
      <w:r>
        <w:rPr>
          <w:sz w:val="18"/>
          <w:szCs w:val="18"/>
        </w:rPr>
        <w:t>Ibid</w:t>
      </w:r>
      <w:r w:rsidRPr="004013C4">
        <w:rPr>
          <w:sz w:val="18"/>
          <w:szCs w:val="18"/>
        </w:rPr>
        <w:t>, Article 25</w:t>
      </w:r>
      <w:r>
        <w:rPr>
          <w:sz w:val="18"/>
          <w:szCs w:val="18"/>
        </w:rPr>
        <w:t xml:space="preserve">, see also </w:t>
      </w:r>
      <w:r w:rsidRPr="004013C4">
        <w:rPr>
          <w:sz w:val="18"/>
          <w:szCs w:val="18"/>
        </w:rPr>
        <w:t>Claire Charters,</w:t>
      </w:r>
      <w:r w:rsidRPr="004013C4">
        <w:rPr>
          <w:sz w:val="18"/>
          <w:szCs w:val="18"/>
          <w:shd w:val="clear" w:color="auto" w:fill="FFFFFF"/>
        </w:rPr>
        <w:t xml:space="preserve"> “Indigenous Peoples’ Rights to Lands, Territories and Resources in the United Nations Declaration on the Rights of Indigenous Peoples” in J. Hohmann, M. Weller (eds) </w:t>
      </w:r>
      <w:r w:rsidRPr="00714350">
        <w:rPr>
          <w:rStyle w:val="Emphasis"/>
          <w:color w:val="000000"/>
          <w:sz w:val="18"/>
          <w:szCs w:val="18"/>
          <w:bdr w:val="none" w:sz="0" w:space="0" w:color="auto" w:frame="1"/>
          <w:shd w:val="clear" w:color="auto" w:fill="FFFFFF"/>
        </w:rPr>
        <w:t>The UN Declaration on the Rights of Indigenous Peoples: A Commentary</w:t>
      </w:r>
      <w:r w:rsidRPr="004013C4">
        <w:rPr>
          <w:sz w:val="18"/>
          <w:szCs w:val="18"/>
          <w:shd w:val="clear" w:color="auto" w:fill="FFFFFF"/>
        </w:rPr>
        <w:t xml:space="preserve"> (Oxford University Press, Oxford, 2018) at 25.</w:t>
      </w:r>
    </w:p>
  </w:endnote>
  <w:endnote w:id="41">
    <w:p w14:paraId="108E7B6D" w14:textId="77777777"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Things of importance to Māori including language, culture, land, natural resources.</w:t>
      </w:r>
    </w:p>
  </w:endnote>
  <w:endnote w:id="42">
    <w:p w14:paraId="4521D0F3" w14:textId="77777777" w:rsidR="00B417E2" w:rsidRPr="004013C4" w:rsidRDefault="00B417E2" w:rsidP="00AA489C">
      <w:pPr>
        <w:pStyle w:val="EndnoteText"/>
        <w:spacing w:after="120"/>
        <w:rPr>
          <w:sz w:val="18"/>
          <w:szCs w:val="18"/>
        </w:rPr>
      </w:pPr>
      <w:r w:rsidRPr="00714350">
        <w:rPr>
          <w:rStyle w:val="EndnoteReference"/>
          <w:sz w:val="18"/>
          <w:szCs w:val="18"/>
        </w:rPr>
        <w:endnoteRef/>
      </w:r>
      <w:r w:rsidRPr="004013C4">
        <w:rPr>
          <w:sz w:val="18"/>
          <w:szCs w:val="18"/>
        </w:rPr>
        <w:t xml:space="preserve"> The Declaration, Article 28.</w:t>
      </w:r>
    </w:p>
  </w:endnote>
  <w:endnote w:id="43">
    <w:p w14:paraId="3D59D7A3" w14:textId="77777777" w:rsidR="00B417E2" w:rsidRPr="004013C4" w:rsidRDefault="00B417E2" w:rsidP="00AA489C">
      <w:pPr>
        <w:pStyle w:val="EndnoteText"/>
        <w:spacing w:after="120"/>
        <w:rPr>
          <w:sz w:val="18"/>
          <w:szCs w:val="18"/>
        </w:rPr>
      </w:pPr>
      <w:r w:rsidRPr="00714350">
        <w:rPr>
          <w:rStyle w:val="EndnoteReference"/>
          <w:sz w:val="18"/>
          <w:szCs w:val="18"/>
        </w:rPr>
        <w:endnoteRef/>
      </w:r>
      <w:r w:rsidRPr="004013C4">
        <w:rPr>
          <w:sz w:val="18"/>
          <w:szCs w:val="18"/>
        </w:rPr>
        <w:t xml:space="preserve"> Committee on the Elimination of Racial Discrimination, </w:t>
      </w:r>
      <w:r w:rsidRPr="004013C4">
        <w:rPr>
          <w:i/>
          <w:sz w:val="18"/>
          <w:szCs w:val="18"/>
        </w:rPr>
        <w:t>General Recommendation 23 Rights of indigenous peoples</w:t>
      </w:r>
      <w:r w:rsidRPr="004013C4">
        <w:rPr>
          <w:sz w:val="18"/>
          <w:szCs w:val="18"/>
        </w:rPr>
        <w:t>, 55</w:t>
      </w:r>
      <w:r w:rsidRPr="004013C4">
        <w:rPr>
          <w:sz w:val="18"/>
          <w:szCs w:val="18"/>
          <w:vertAlign w:val="superscript"/>
        </w:rPr>
        <w:t>th</w:t>
      </w:r>
      <w:r w:rsidRPr="004013C4">
        <w:rPr>
          <w:sz w:val="18"/>
          <w:szCs w:val="18"/>
        </w:rPr>
        <w:t xml:space="preserve"> Session, UN Doc A/52/18, (22 August 1997) at [5].</w:t>
      </w:r>
    </w:p>
  </w:endnote>
  <w:endnote w:id="44">
    <w:p w14:paraId="3AB26E7E" w14:textId="77777777"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w:t>
      </w:r>
      <w:r w:rsidRPr="004013C4">
        <w:rPr>
          <w:sz w:val="18"/>
          <w:szCs w:val="18"/>
          <w:lang w:val="mi-NZ"/>
        </w:rPr>
        <w:t>Expert Mechanism on the Rights of Indigenous Peoples</w:t>
      </w:r>
      <w:r w:rsidRPr="00714350">
        <w:rPr>
          <w:rStyle w:val="normaltextrun"/>
          <w:sz w:val="18"/>
          <w:szCs w:val="18"/>
          <w:lang w:val="en-US"/>
        </w:rPr>
        <w:t xml:space="preserve">, </w:t>
      </w:r>
      <w:hyperlink r:id="rId19" w:history="1">
        <w:r w:rsidRPr="00714350">
          <w:rPr>
            <w:rStyle w:val="Hyperlink"/>
            <w:i/>
            <w:sz w:val="18"/>
            <w:szCs w:val="18"/>
            <w:lang w:val="en-US"/>
          </w:rPr>
          <w:t>Free, prior and informed consent: a human rights-based approach – Study of the Expert Mechanism on the Rights of Indigenous Peoples</w:t>
        </w:r>
      </w:hyperlink>
      <w:r w:rsidRPr="00714350">
        <w:rPr>
          <w:rStyle w:val="normaltextrun"/>
          <w:sz w:val="18"/>
          <w:szCs w:val="18"/>
          <w:lang w:val="en-US"/>
        </w:rPr>
        <w:t>, UN Doc A/HRC/39/62, (10 August 2018) Annex at [20] – [21].</w:t>
      </w:r>
    </w:p>
  </w:endnote>
  <w:endnote w:id="45">
    <w:p w14:paraId="0FFAECDA" w14:textId="63443287" w:rsidR="00B417E2" w:rsidRPr="00714350" w:rsidRDefault="00B417E2" w:rsidP="00AA489C">
      <w:pPr>
        <w:pStyle w:val="EndnoteText"/>
        <w:spacing w:after="120"/>
        <w:rPr>
          <w:sz w:val="18"/>
          <w:szCs w:val="18"/>
        </w:rPr>
      </w:pPr>
      <w:r w:rsidRPr="00714350">
        <w:rPr>
          <w:rStyle w:val="EndnoteReference"/>
          <w:sz w:val="18"/>
          <w:szCs w:val="18"/>
        </w:rPr>
        <w:endnoteRef/>
      </w:r>
      <w:r w:rsidRPr="00714350">
        <w:rPr>
          <w:sz w:val="18"/>
          <w:szCs w:val="18"/>
        </w:rPr>
        <w:t xml:space="preserve"> </w:t>
      </w:r>
      <w:r w:rsidRPr="004C0F58">
        <w:rPr>
          <w:sz w:val="18"/>
          <w:szCs w:val="18"/>
        </w:rPr>
        <w:t xml:space="preserve">EMRIP, (2019), </w:t>
      </w:r>
      <w:r w:rsidRPr="004C0F58">
        <w:rPr>
          <w:i/>
          <w:iCs/>
          <w:sz w:val="18"/>
          <w:szCs w:val="18"/>
        </w:rPr>
        <w:t>Efforts to implement the United Nations Declaration on the Rights of Indigenous Peoples: recognition, reparation and reconciliation</w:t>
      </w:r>
      <w:r w:rsidRPr="004C0F58">
        <w:rPr>
          <w:sz w:val="18"/>
          <w:szCs w:val="18"/>
        </w:rPr>
        <w:t xml:space="preserve">, A/HRC/EMRIP/2019/3, at para 40.  Accessible at: </w:t>
      </w:r>
      <w:hyperlink r:id="rId20" w:history="1">
        <w:r w:rsidRPr="004C0F58">
          <w:rPr>
            <w:rStyle w:val="Hyperlink"/>
            <w:sz w:val="18"/>
            <w:szCs w:val="18"/>
          </w:rPr>
          <w:t>https://www.undocs.org/a/hrc/emrip/2019/3</w:t>
        </w:r>
      </w:hyperlink>
      <w:r w:rsidRPr="004C0F58">
        <w:rPr>
          <w:sz w:val="18"/>
          <w:szCs w:val="18"/>
        </w:rPr>
        <w:t>.</w:t>
      </w:r>
      <w:r w:rsidRPr="00714350">
        <w:rPr>
          <w:sz w:val="18"/>
          <w:szCs w:val="18"/>
        </w:rPr>
        <w:t xml:space="preserve"> </w:t>
      </w:r>
    </w:p>
  </w:endnote>
  <w:endnote w:id="46">
    <w:p w14:paraId="6A45AF4A" w14:textId="77777777" w:rsidR="00B417E2" w:rsidRPr="004013C4" w:rsidRDefault="00B417E2" w:rsidP="00AA489C">
      <w:pPr>
        <w:pStyle w:val="EndnoteText"/>
        <w:spacing w:after="120"/>
        <w:rPr>
          <w:sz w:val="18"/>
          <w:szCs w:val="18"/>
        </w:rPr>
      </w:pPr>
      <w:r w:rsidRPr="00714350">
        <w:rPr>
          <w:rStyle w:val="EndnoteReference"/>
          <w:sz w:val="18"/>
          <w:szCs w:val="18"/>
        </w:rPr>
        <w:endnoteRef/>
      </w:r>
      <w:r w:rsidRPr="004013C4">
        <w:rPr>
          <w:sz w:val="18"/>
          <w:szCs w:val="18"/>
        </w:rPr>
        <w:t xml:space="preserve"> Claire Charters “The Rights of Indigenous Peoples under International Law and their Domestic Relevance in Aotearoa New Zealand” in M Bedggood, K Gledhill and I McIntosh (eds) </w:t>
      </w:r>
      <w:r w:rsidRPr="004013C4">
        <w:rPr>
          <w:i/>
          <w:sz w:val="18"/>
          <w:szCs w:val="18"/>
        </w:rPr>
        <w:t>International Human Rights Law in Aotearoa New Zealand</w:t>
      </w:r>
      <w:r w:rsidRPr="004013C4">
        <w:rPr>
          <w:sz w:val="18"/>
          <w:szCs w:val="18"/>
        </w:rPr>
        <w:t xml:space="preserve"> (Thomson Reuters, Wellington, 2017) at 809 - Associate Professor Claire Charters states that in some cases, maintenance and strengthening of indigenous peoples’ spiritual relationship may require Indigenous peoples to access and/or possess the lands in question irrespective of whether they possess or own those lands presently. However, notes any claim would be subject to balancing with competing rights to the land under art 46 which provides for justified limitations on the rights in the UNDRIP.</w:t>
      </w:r>
    </w:p>
  </w:endnote>
  <w:endnote w:id="47">
    <w:p w14:paraId="0E6289B8" w14:textId="77777777" w:rsidR="00B417E2" w:rsidRPr="004013C4" w:rsidRDefault="00B417E2" w:rsidP="00AA489C">
      <w:pPr>
        <w:pStyle w:val="EndnoteText"/>
        <w:spacing w:after="120"/>
        <w:rPr>
          <w:sz w:val="18"/>
          <w:szCs w:val="18"/>
        </w:rPr>
      </w:pPr>
      <w:r w:rsidRPr="00714350">
        <w:rPr>
          <w:rStyle w:val="EndnoteReference"/>
          <w:sz w:val="18"/>
          <w:szCs w:val="18"/>
        </w:rPr>
        <w:endnoteRef/>
      </w:r>
      <w:r w:rsidRPr="004013C4">
        <w:rPr>
          <w:sz w:val="18"/>
          <w:szCs w:val="18"/>
        </w:rPr>
        <w:t xml:space="preserve"> United Nations Economic and Social Council, </w:t>
      </w:r>
      <w:hyperlink r:id="rId21" w:history="1">
        <w:r w:rsidRPr="00714350">
          <w:rPr>
            <w:rStyle w:val="Hyperlink"/>
            <w:i/>
            <w:sz w:val="18"/>
            <w:szCs w:val="18"/>
          </w:rPr>
          <w:t xml:space="preserve">Report of the Special Rapporteur on the situation of human rights and fundamental freedoms of indigenous people, Addendum Mission to New </w:t>
        </w:r>
        <w:r w:rsidRPr="00714350">
          <w:rPr>
            <w:rStyle w:val="Hyperlink"/>
            <w:sz w:val="18"/>
            <w:szCs w:val="18"/>
          </w:rPr>
          <w:t>Zealand</w:t>
        </w:r>
      </w:hyperlink>
      <w:r w:rsidRPr="004013C4">
        <w:rPr>
          <w:sz w:val="18"/>
          <w:szCs w:val="18"/>
        </w:rPr>
        <w:t>, UN Doc E/CN.4/2006/78/Add.3, (13 March 2006) at [22] – [42].</w:t>
      </w:r>
    </w:p>
  </w:endnote>
  <w:endnote w:id="48">
    <w:p w14:paraId="754A1788" w14:textId="77777777" w:rsidR="00B417E2" w:rsidRPr="004013C4" w:rsidRDefault="00B417E2" w:rsidP="00AA489C">
      <w:pPr>
        <w:pStyle w:val="EndnoteText"/>
        <w:spacing w:after="120"/>
        <w:rPr>
          <w:sz w:val="18"/>
          <w:szCs w:val="18"/>
        </w:rPr>
      </w:pPr>
      <w:r w:rsidRPr="00714350">
        <w:rPr>
          <w:rStyle w:val="EndnoteReference"/>
          <w:sz w:val="18"/>
          <w:szCs w:val="18"/>
        </w:rPr>
        <w:endnoteRef/>
      </w:r>
      <w:r w:rsidRPr="004013C4">
        <w:rPr>
          <w:sz w:val="18"/>
          <w:szCs w:val="18"/>
        </w:rPr>
        <w:t xml:space="preserve"> United Nations Human Rights Council, </w:t>
      </w:r>
      <w:hyperlink r:id="rId22" w:history="1">
        <w:r w:rsidRPr="00714350">
          <w:rPr>
            <w:rStyle w:val="Hyperlink"/>
            <w:i/>
            <w:sz w:val="18"/>
            <w:szCs w:val="18"/>
          </w:rPr>
          <w:t>Report of the Special Rapporteur on the rights of indigenous people James Anaya Addendum, The Situation of Maori people in New Zealand</w:t>
        </w:r>
      </w:hyperlink>
      <w:r w:rsidRPr="004013C4">
        <w:rPr>
          <w:i/>
          <w:sz w:val="18"/>
          <w:szCs w:val="18"/>
        </w:rPr>
        <w:t xml:space="preserve">, </w:t>
      </w:r>
      <w:r w:rsidRPr="004013C4">
        <w:rPr>
          <w:sz w:val="18"/>
          <w:szCs w:val="18"/>
        </w:rPr>
        <w:t>UN Doc A/HRC/18/35/Add.4, (31 May 2011).</w:t>
      </w:r>
    </w:p>
  </w:endnote>
  <w:endnote w:id="49">
    <w:p w14:paraId="55B5ADD0" w14:textId="77777777" w:rsidR="00B417E2" w:rsidRPr="004013C4" w:rsidRDefault="00B417E2" w:rsidP="00AA489C">
      <w:pPr>
        <w:pStyle w:val="EndnoteText"/>
        <w:spacing w:after="120"/>
        <w:rPr>
          <w:sz w:val="18"/>
          <w:szCs w:val="18"/>
          <w:lang w:val="mi-NZ"/>
        </w:rPr>
      </w:pPr>
      <w:r w:rsidRPr="00714350">
        <w:rPr>
          <w:rStyle w:val="EndnoteReference"/>
          <w:sz w:val="18"/>
          <w:szCs w:val="18"/>
        </w:rPr>
        <w:endnoteRef/>
      </w:r>
      <w:r w:rsidRPr="004013C4">
        <w:rPr>
          <w:sz w:val="18"/>
          <w:szCs w:val="18"/>
        </w:rPr>
        <w:t xml:space="preserve"> The Declaration, </w:t>
      </w:r>
      <w:r w:rsidRPr="004013C4">
        <w:rPr>
          <w:sz w:val="18"/>
          <w:szCs w:val="18"/>
          <w:lang w:val="mi-NZ"/>
        </w:rPr>
        <w:t>Articles 8, 11, 15 and 31.</w:t>
      </w:r>
    </w:p>
  </w:endnote>
  <w:endnote w:id="50">
    <w:p w14:paraId="35D9EA3E" w14:textId="4F15C1B8" w:rsidR="00B417E2" w:rsidRPr="004013C4" w:rsidRDefault="00B417E2" w:rsidP="00AA489C">
      <w:pPr>
        <w:pStyle w:val="EndnoteText"/>
        <w:spacing w:after="120"/>
        <w:rPr>
          <w:sz w:val="18"/>
          <w:szCs w:val="18"/>
        </w:rPr>
      </w:pPr>
      <w:r w:rsidRPr="00714350">
        <w:rPr>
          <w:rStyle w:val="EndnoteReference"/>
          <w:sz w:val="18"/>
          <w:szCs w:val="18"/>
        </w:rPr>
        <w:endnoteRef/>
      </w:r>
      <w:r w:rsidRPr="004013C4">
        <w:rPr>
          <w:sz w:val="18"/>
          <w:szCs w:val="18"/>
        </w:rPr>
        <w:t xml:space="preserve"> </w:t>
      </w:r>
      <w:r w:rsidRPr="004013C4">
        <w:rPr>
          <w:sz w:val="18"/>
          <w:szCs w:val="18"/>
          <w:lang w:val="en-US"/>
        </w:rPr>
        <w:t xml:space="preserve">Human Rights Committee </w:t>
      </w:r>
      <w:r w:rsidRPr="004013C4">
        <w:rPr>
          <w:i/>
          <w:sz w:val="18"/>
          <w:szCs w:val="18"/>
          <w:lang w:val="en-US"/>
        </w:rPr>
        <w:t>General Comment 20</w:t>
      </w:r>
      <w:r w:rsidRPr="004013C4">
        <w:rPr>
          <w:sz w:val="18"/>
          <w:szCs w:val="18"/>
          <w:lang w:val="en-US"/>
        </w:rPr>
        <w:t xml:space="preserve">, UN Doc HRI/GEN/1/Rev.1 at 38 (1994) at [1]. </w:t>
      </w:r>
      <w:r w:rsidRPr="004013C4">
        <w:rPr>
          <w:sz w:val="18"/>
          <w:szCs w:val="18"/>
        </w:rPr>
        <w:t xml:space="preserve">The HRC in its General Comment on article 27 interprets culture to include ways of life associated with the use of land resources, particularly in the case of </w:t>
      </w:r>
      <w:r>
        <w:rPr>
          <w:sz w:val="18"/>
          <w:szCs w:val="18"/>
        </w:rPr>
        <w:t>i</w:t>
      </w:r>
      <w:r w:rsidRPr="004013C4">
        <w:rPr>
          <w:sz w:val="18"/>
          <w:szCs w:val="18"/>
        </w:rPr>
        <w:t>ndigenous peoples.</w:t>
      </w:r>
    </w:p>
  </w:endnote>
  <w:endnote w:id="51">
    <w:p w14:paraId="03FC12A9" w14:textId="77777777"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The Declaration, Article 11 and Article 31; Committee on Economic, Social and Cultural Rights, </w:t>
      </w:r>
      <w:hyperlink r:id="rId23" w:history="1">
        <w:r w:rsidRPr="00714350">
          <w:rPr>
            <w:rStyle w:val="Hyperlink"/>
            <w:i/>
            <w:sz w:val="18"/>
            <w:szCs w:val="18"/>
          </w:rPr>
          <w:t>General Comment No. 21: Right of everyone to take part in cultural life (art. 15, para. 1 (a), of the International Covenant on Economic, Social and Cultural Rights)</w:t>
        </w:r>
        <w:r w:rsidRPr="00714350">
          <w:rPr>
            <w:rStyle w:val="Hyperlink"/>
            <w:sz w:val="18"/>
            <w:szCs w:val="18"/>
          </w:rPr>
          <w:t>,</w:t>
        </w:r>
      </w:hyperlink>
      <w:r w:rsidRPr="00714350">
        <w:rPr>
          <w:sz w:val="18"/>
          <w:szCs w:val="18"/>
        </w:rPr>
        <w:t xml:space="preserve"> UN Doc E/C.12/GC/21, (21 December 2009); Committee on the Rights of the Child, </w:t>
      </w:r>
      <w:hyperlink r:id="rId24" w:history="1">
        <w:r w:rsidRPr="00714350">
          <w:rPr>
            <w:rStyle w:val="Hyperlink"/>
            <w:i/>
            <w:sz w:val="18"/>
            <w:szCs w:val="18"/>
          </w:rPr>
          <w:t>General</w:t>
        </w:r>
        <w:r w:rsidRPr="00714350">
          <w:rPr>
            <w:rStyle w:val="Hyperlink"/>
            <w:i/>
            <w:sz w:val="18"/>
            <w:szCs w:val="18"/>
            <w:lang w:val="en-US"/>
          </w:rPr>
          <w:t xml:space="preserve"> Comment No 11: Indigenous Children and their Rights under the Convention</w:t>
        </w:r>
        <w:r w:rsidRPr="00714350">
          <w:rPr>
            <w:rStyle w:val="Hyperlink"/>
            <w:sz w:val="18"/>
            <w:szCs w:val="18"/>
            <w:lang w:val="en-US"/>
          </w:rPr>
          <w:t>,</w:t>
        </w:r>
      </w:hyperlink>
      <w:r w:rsidRPr="00714350">
        <w:rPr>
          <w:sz w:val="18"/>
          <w:szCs w:val="18"/>
          <w:lang w:val="en-US"/>
        </w:rPr>
        <w:t xml:space="preserve"> UN Doc CRC/C/GC/11 (12 February 2009).</w:t>
      </w:r>
    </w:p>
  </w:endnote>
  <w:endnote w:id="52">
    <w:p w14:paraId="4F734D0E" w14:textId="77777777" w:rsidR="009461E8" w:rsidRPr="004013C4" w:rsidRDefault="009461E8" w:rsidP="009461E8">
      <w:pPr>
        <w:pStyle w:val="EndnoteText"/>
        <w:spacing w:after="120"/>
        <w:rPr>
          <w:sz w:val="18"/>
          <w:szCs w:val="18"/>
          <w:lang w:val="en-US"/>
        </w:rPr>
      </w:pPr>
      <w:r w:rsidRPr="00714350">
        <w:rPr>
          <w:rStyle w:val="EndnoteReference"/>
          <w:sz w:val="18"/>
          <w:szCs w:val="18"/>
        </w:rPr>
        <w:endnoteRef/>
      </w:r>
      <w:r w:rsidRPr="004013C4">
        <w:rPr>
          <w:sz w:val="18"/>
          <w:szCs w:val="18"/>
        </w:rPr>
        <w:t xml:space="preserve"> </w:t>
      </w:r>
      <w:r w:rsidRPr="004013C4">
        <w:rPr>
          <w:sz w:val="18"/>
          <w:szCs w:val="18"/>
          <w:lang w:val="en-US"/>
        </w:rPr>
        <w:t xml:space="preserve"> The Independent Working Group on Constitutional Transformation, </w:t>
      </w:r>
      <w:hyperlink r:id="rId25" w:history="1">
        <w:r w:rsidRPr="00714350">
          <w:rPr>
            <w:rStyle w:val="Hyperlink"/>
            <w:i/>
            <w:sz w:val="18"/>
            <w:szCs w:val="18"/>
            <w:lang w:val="en-US"/>
          </w:rPr>
          <w:t>He Whakaaro Here Whakaumu Mo Aotearoa: The Report of Matike Mai Aotearoa</w:t>
        </w:r>
      </w:hyperlink>
      <w:r w:rsidRPr="004013C4">
        <w:rPr>
          <w:sz w:val="18"/>
          <w:szCs w:val="18"/>
          <w:lang w:val="en-US"/>
        </w:rPr>
        <w:t xml:space="preserve"> (2016), at 40. Note Professor Margaret Mutu was Working Group Chair and Moana Jackson its Convener.</w:t>
      </w:r>
    </w:p>
  </w:endnote>
  <w:endnote w:id="53">
    <w:p w14:paraId="452D8BA6" w14:textId="77777777"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4013C4">
        <w:rPr>
          <w:sz w:val="18"/>
          <w:szCs w:val="18"/>
        </w:rPr>
        <w:t xml:space="preserve"> Human Rights Committee, </w:t>
      </w:r>
      <w:hyperlink r:id="rId26" w:history="1">
        <w:r w:rsidRPr="00714350">
          <w:rPr>
            <w:rStyle w:val="Hyperlink"/>
            <w:i/>
            <w:sz w:val="18"/>
            <w:szCs w:val="18"/>
            <w:lang w:val="mi-NZ"/>
          </w:rPr>
          <w:t>General comment No. 23(50) (art 27),</w:t>
        </w:r>
      </w:hyperlink>
      <w:r w:rsidRPr="004013C4">
        <w:rPr>
          <w:sz w:val="18"/>
          <w:szCs w:val="18"/>
          <w:lang w:val="mi-NZ"/>
        </w:rPr>
        <w:t>1994, UN Doc CCPR/C/21/Rev.1/Add.5, at [7].</w:t>
      </w:r>
    </w:p>
  </w:endnote>
  <w:endnote w:id="54">
    <w:p w14:paraId="7F533E3C" w14:textId="77777777"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sidRPr="00E41A80">
        <w:rPr>
          <w:i/>
          <w:sz w:val="18"/>
          <w:szCs w:val="18"/>
        </w:rPr>
        <w:t xml:space="preserve">Bernard Ominayak, Chief of the Bubion Lake Band v Canada, </w:t>
      </w:r>
      <w:r w:rsidRPr="00E41A80">
        <w:rPr>
          <w:sz w:val="18"/>
          <w:szCs w:val="18"/>
        </w:rPr>
        <w:t xml:space="preserve">HRC Communication No 167/1984, 26 March 1990, UN Doc CCPR/C/38/D/167/1984; </w:t>
      </w:r>
      <w:r w:rsidRPr="00E41A80">
        <w:rPr>
          <w:i/>
          <w:sz w:val="18"/>
          <w:szCs w:val="18"/>
        </w:rPr>
        <w:t>Sandra Lovelace v Canada</w:t>
      </w:r>
      <w:r w:rsidRPr="00E41A80">
        <w:rPr>
          <w:sz w:val="18"/>
          <w:szCs w:val="18"/>
        </w:rPr>
        <w:t xml:space="preserve">, Communication No. 24/1977: Canada 30/07/81, UN Doc. CCPR/C/13/D/24/1977; </w:t>
      </w:r>
      <w:r w:rsidRPr="00E41A80">
        <w:rPr>
          <w:i/>
          <w:sz w:val="18"/>
          <w:szCs w:val="18"/>
          <w:lang w:val="en-US"/>
        </w:rPr>
        <w:t>Ivan Kitok v Sweden</w:t>
      </w:r>
      <w:r w:rsidRPr="00E41A80">
        <w:rPr>
          <w:sz w:val="18"/>
          <w:szCs w:val="18"/>
          <w:lang w:val="en-US"/>
        </w:rPr>
        <w:t>, Human Rights Committee, Communication No. 197/1985; UN Doc CCPR/C/33/D/197/1985;</w:t>
      </w:r>
      <w:r w:rsidRPr="00E41A80">
        <w:rPr>
          <w:i/>
          <w:sz w:val="18"/>
          <w:szCs w:val="18"/>
        </w:rPr>
        <w:t xml:space="preserve"> Mahuika v New Zealand</w:t>
      </w:r>
      <w:r w:rsidRPr="00E41A80">
        <w:rPr>
          <w:sz w:val="18"/>
          <w:szCs w:val="18"/>
          <w:lang w:val="en-US"/>
        </w:rPr>
        <w:t xml:space="preserve"> HRC Communication No 547/1992, 13 October 1995, UN Doc CCPR/C/55/D/547/1993, reported in (2000) 7 HRNZ 629.</w:t>
      </w:r>
    </w:p>
  </w:endnote>
  <w:endnote w:id="55">
    <w:p w14:paraId="37878952" w14:textId="10B57E72" w:rsidR="00B417E2" w:rsidRPr="00E41A80" w:rsidRDefault="00B417E2" w:rsidP="00AA489C">
      <w:pPr>
        <w:spacing w:after="120" w:line="240" w:lineRule="auto"/>
        <w:jc w:val="left"/>
        <w:rPr>
          <w:sz w:val="18"/>
          <w:szCs w:val="18"/>
        </w:rPr>
      </w:pPr>
      <w:r w:rsidRPr="00714350">
        <w:rPr>
          <w:rStyle w:val="EndnoteReference"/>
          <w:sz w:val="18"/>
          <w:szCs w:val="18"/>
        </w:rPr>
        <w:endnoteRef/>
      </w:r>
      <w:r w:rsidRPr="00E41A80">
        <w:rPr>
          <w:sz w:val="18"/>
          <w:szCs w:val="18"/>
        </w:rPr>
        <w:t xml:space="preserve"> </w:t>
      </w:r>
      <w:r w:rsidRPr="00E41A80">
        <w:rPr>
          <w:i/>
          <w:sz w:val="18"/>
          <w:szCs w:val="18"/>
          <w:lang w:val="en-US"/>
        </w:rPr>
        <w:t>Takamore v Clarke</w:t>
      </w:r>
      <w:r w:rsidRPr="00E41A80">
        <w:rPr>
          <w:sz w:val="18"/>
          <w:szCs w:val="18"/>
          <w:lang w:val="en-US"/>
        </w:rPr>
        <w:t xml:space="preserve"> [2012] NZSC 116. </w:t>
      </w:r>
      <w:r w:rsidRPr="00E41A80">
        <w:rPr>
          <w:sz w:val="18"/>
          <w:szCs w:val="18"/>
        </w:rPr>
        <w:t>There, it accepted that M</w:t>
      </w:r>
      <w:r>
        <w:rPr>
          <w:sz w:val="18"/>
          <w:szCs w:val="18"/>
        </w:rPr>
        <w:t>ā</w:t>
      </w:r>
      <w:r w:rsidRPr="00E41A80">
        <w:rPr>
          <w:sz w:val="18"/>
          <w:szCs w:val="18"/>
        </w:rPr>
        <w:t xml:space="preserve">ori custom according to tikanga is part of the common law [94] and it was the role of the courts not to validate tikanga but to resolve disputes which required the Court’s intervention [97]. The Chief Justice also acknowledged the importance of Māori thinking in their ability to appropriately enjoy their culture. To this end it engaged s 20 of NZBORA and made the wishes of the whānau a proper matter to be weighed by the Court [100]. She went on to say that the loss to the culture was grave because it loosened links of whakapapa, not only for the individual concerned but also their descendants [102]. </w:t>
      </w:r>
    </w:p>
  </w:endnote>
  <w:endnote w:id="56">
    <w:p w14:paraId="173E47CD" w14:textId="50D43F8A" w:rsidR="00B417E2" w:rsidRPr="00E41A80" w:rsidRDefault="00B417E2" w:rsidP="00AA489C">
      <w:pPr>
        <w:pStyle w:val="EndnoteText"/>
        <w:spacing w:after="120"/>
        <w:jc w:val="left"/>
        <w:rPr>
          <w:sz w:val="18"/>
          <w:szCs w:val="18"/>
          <w:lang w:val="en-US"/>
        </w:rPr>
      </w:pPr>
      <w:r w:rsidRPr="00E41A80">
        <w:rPr>
          <w:rStyle w:val="EndnoteReference"/>
          <w:sz w:val="18"/>
          <w:szCs w:val="18"/>
        </w:rPr>
        <w:endnoteRef/>
      </w:r>
      <w:r w:rsidRPr="00E41A80">
        <w:rPr>
          <w:sz w:val="18"/>
          <w:szCs w:val="18"/>
        </w:rPr>
        <w:t xml:space="preserve"> </w:t>
      </w:r>
      <w:r w:rsidRPr="00E41A80">
        <w:rPr>
          <w:sz w:val="18"/>
          <w:szCs w:val="18"/>
          <w:lang w:val="en-US"/>
        </w:rPr>
        <w:t xml:space="preserve">Sally Blundell, </w:t>
      </w:r>
      <w:r w:rsidRPr="00E41A80">
        <w:rPr>
          <w:i/>
          <w:sz w:val="18"/>
          <w:szCs w:val="18"/>
          <w:lang w:val="en-US"/>
        </w:rPr>
        <w:t xml:space="preserve">What </w:t>
      </w:r>
      <w:r w:rsidRPr="00E41A80">
        <w:rPr>
          <w:i/>
          <w:sz w:val="18"/>
          <w:szCs w:val="18"/>
        </w:rPr>
        <w:t>Ihumātao reveals about NZ’s protection of Māori heritage sites</w:t>
      </w:r>
      <w:r w:rsidRPr="00E41A80">
        <w:rPr>
          <w:sz w:val="18"/>
          <w:szCs w:val="18"/>
        </w:rPr>
        <w:t xml:space="preserve">, 31 January 2019, </w:t>
      </w:r>
      <w:hyperlink r:id="rId27" w:history="1">
        <w:r w:rsidRPr="00E41A80">
          <w:rPr>
            <w:rStyle w:val="Hyperlink"/>
            <w:sz w:val="18"/>
            <w:szCs w:val="18"/>
          </w:rPr>
          <w:t>https://www.noted.co.nz/currently/social-issues/ihumatao-maori-heritage-sites-nz-protection/</w:t>
        </w:r>
      </w:hyperlink>
      <w:r>
        <w:rPr>
          <w:rStyle w:val="Hyperlink"/>
          <w:sz w:val="18"/>
          <w:szCs w:val="18"/>
        </w:rPr>
        <w:t>.</w:t>
      </w:r>
    </w:p>
  </w:endnote>
  <w:endnote w:id="57">
    <w:p w14:paraId="1C5A144B" w14:textId="1C2F8A7D"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sidRPr="00E41A80">
        <w:rPr>
          <w:sz w:val="18"/>
          <w:szCs w:val="18"/>
          <w:lang w:val="mi-NZ"/>
        </w:rPr>
        <w:t>This includes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p>
  </w:endnote>
  <w:endnote w:id="58">
    <w:p w14:paraId="66976BFF" w14:textId="7D19AB05" w:rsidR="00B417E2" w:rsidRPr="00E41A80" w:rsidRDefault="00B417E2" w:rsidP="00AA489C">
      <w:pPr>
        <w:spacing w:after="120" w:line="240" w:lineRule="auto"/>
        <w:jc w:val="left"/>
        <w:rPr>
          <w:rFonts w:eastAsia="Times New Roman"/>
          <w:sz w:val="18"/>
          <w:szCs w:val="18"/>
          <w:lang w:eastAsia="en-NZ"/>
        </w:rPr>
      </w:pPr>
      <w:r w:rsidRPr="00714350">
        <w:rPr>
          <w:rStyle w:val="EndnoteReference"/>
          <w:sz w:val="18"/>
          <w:szCs w:val="18"/>
        </w:rPr>
        <w:endnoteRef/>
      </w:r>
      <w:r w:rsidRPr="00E41A80">
        <w:rPr>
          <w:sz w:val="18"/>
          <w:szCs w:val="18"/>
        </w:rPr>
        <w:t xml:space="preserve"> This includes the International Covenant on Civil and Political Rights 1966 </w:t>
      </w:r>
      <w:r w:rsidRPr="00E41A80">
        <w:rPr>
          <w:sz w:val="18"/>
          <w:szCs w:val="18"/>
          <w:lang w:val="en-US"/>
        </w:rPr>
        <w:t xml:space="preserve">Article 27 which </w:t>
      </w:r>
      <w:r w:rsidRPr="00E41A80">
        <w:rPr>
          <w:sz w:val="18"/>
          <w:szCs w:val="18"/>
        </w:rPr>
        <w:t xml:space="preserve">states that “In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 the International Covenant on Economic, Social and Cultural Rights 1966 </w:t>
      </w:r>
      <w:r w:rsidRPr="00E41A80">
        <w:rPr>
          <w:sz w:val="18"/>
          <w:szCs w:val="18"/>
          <w:lang w:val="en-US"/>
        </w:rPr>
        <w:t xml:space="preserve">Article 27 which </w:t>
      </w:r>
      <w:r w:rsidRPr="00E41A80">
        <w:rPr>
          <w:sz w:val="18"/>
          <w:szCs w:val="18"/>
        </w:rPr>
        <w:t>states that “In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 and the Convention on the Rights of the Child 1989 Article 15 which urges States to take steps to ensure the realization of the right to cultural life for everyone, including steps necessary for the conservation of culture. The right is also reinforced by the International Labour Organisation Convention 169 which affirms the special importance for indigenous peoples of their lands to their culture and spiritual values in Article 13 where it states</w:t>
      </w:r>
      <w:r w:rsidRPr="00E41A80">
        <w:rPr>
          <w:rFonts w:eastAsia="Times New Roman"/>
          <w:sz w:val="18"/>
          <w:szCs w:val="18"/>
          <w:lang w:eastAsia="en-NZ"/>
        </w:rPr>
        <w:t xml:space="preserve"> “In applying the provisions of this Part of the Convention governments shall respect the special importance for the cultures and spiritual values of the peoples concerned of their relationship with the lands or territories, or both as applicable, which they occupy or otherwise use, and in particular the collective aspects of this relationship” and </w:t>
      </w:r>
      <w:r w:rsidRPr="00E41A80">
        <w:rPr>
          <w:sz w:val="18"/>
          <w:szCs w:val="18"/>
        </w:rPr>
        <w:t xml:space="preserve"> in Article 14 which states “indigenous peoples have the right to “use lands not exclusively occupied by them, but to which they have traditionally had access for their subsistence and traditional activities”.</w:t>
      </w:r>
    </w:p>
  </w:endnote>
  <w:endnote w:id="59">
    <w:p w14:paraId="3454235B" w14:textId="0386DFAF" w:rsidR="00B417E2" w:rsidRPr="00714350" w:rsidRDefault="00B417E2" w:rsidP="00AA489C">
      <w:pPr>
        <w:pStyle w:val="EndnoteText"/>
        <w:spacing w:after="120"/>
        <w:jc w:val="left"/>
        <w:rPr>
          <w:sz w:val="18"/>
          <w:szCs w:val="18"/>
          <w:lang w:val="en-US"/>
        </w:rPr>
      </w:pPr>
      <w:r w:rsidRPr="00714350">
        <w:rPr>
          <w:rStyle w:val="EndnoteReference"/>
          <w:sz w:val="18"/>
          <w:szCs w:val="18"/>
        </w:rPr>
        <w:endnoteRef/>
      </w:r>
      <w:r w:rsidRPr="00714350">
        <w:rPr>
          <w:sz w:val="18"/>
          <w:szCs w:val="18"/>
        </w:rPr>
        <w:t xml:space="preserve"> Committee on Economic, Social and Cultural Rights, </w:t>
      </w:r>
      <w:hyperlink r:id="rId28" w:history="1">
        <w:r w:rsidRPr="00714350">
          <w:rPr>
            <w:rStyle w:val="Hyperlink"/>
            <w:i/>
            <w:sz w:val="18"/>
            <w:szCs w:val="18"/>
          </w:rPr>
          <w:t>General Comment No. 21: Right of everyone to take part in cultural life (art. 15, para. 1 (a), of the International Covenant on Economic, Social and Cultural Rights)</w:t>
        </w:r>
        <w:r w:rsidRPr="00714350">
          <w:rPr>
            <w:rStyle w:val="Hyperlink"/>
            <w:sz w:val="18"/>
            <w:szCs w:val="18"/>
          </w:rPr>
          <w:t>,</w:t>
        </w:r>
      </w:hyperlink>
      <w:r w:rsidRPr="00714350">
        <w:rPr>
          <w:sz w:val="18"/>
          <w:szCs w:val="18"/>
        </w:rPr>
        <w:t xml:space="preserve"> UN Doc E/C.12/GC/21, (21 December 2009).</w:t>
      </w:r>
    </w:p>
  </w:endnote>
  <w:endnote w:id="60">
    <w:p w14:paraId="1ADD3433" w14:textId="3DCFA59B" w:rsidR="00B417E2" w:rsidRPr="00714350" w:rsidRDefault="00B417E2" w:rsidP="00AA489C">
      <w:pPr>
        <w:pStyle w:val="EndnoteText"/>
        <w:spacing w:after="120"/>
        <w:jc w:val="left"/>
        <w:rPr>
          <w:sz w:val="18"/>
          <w:szCs w:val="18"/>
          <w:lang w:val="en-US"/>
        </w:rPr>
      </w:pPr>
      <w:r w:rsidRPr="00714350">
        <w:rPr>
          <w:rStyle w:val="EndnoteReference"/>
          <w:sz w:val="18"/>
          <w:szCs w:val="18"/>
        </w:rPr>
        <w:endnoteRef/>
      </w:r>
      <w:r w:rsidRPr="00714350">
        <w:rPr>
          <w:sz w:val="18"/>
          <w:szCs w:val="18"/>
        </w:rPr>
        <w:t xml:space="preserve"> </w:t>
      </w:r>
      <w:r>
        <w:rPr>
          <w:sz w:val="18"/>
          <w:szCs w:val="18"/>
        </w:rPr>
        <w:t>Ibid,</w:t>
      </w:r>
      <w:r w:rsidRPr="00714350">
        <w:rPr>
          <w:sz w:val="18"/>
          <w:szCs w:val="18"/>
        </w:rPr>
        <w:t xml:space="preserve"> (21 December 2009) at [36].</w:t>
      </w:r>
    </w:p>
  </w:endnote>
  <w:endnote w:id="61">
    <w:p w14:paraId="61D2758A" w14:textId="03A9EC2D" w:rsidR="00B417E2" w:rsidRPr="00E41A80" w:rsidRDefault="00B417E2" w:rsidP="00AA489C">
      <w:pPr>
        <w:pStyle w:val="EndnoteText"/>
        <w:spacing w:after="120"/>
        <w:jc w:val="left"/>
        <w:rPr>
          <w:sz w:val="18"/>
          <w:szCs w:val="18"/>
          <w:lang w:val="en-US"/>
        </w:rPr>
      </w:pPr>
      <w:r w:rsidRPr="00E41A80">
        <w:rPr>
          <w:rStyle w:val="EndnoteReference"/>
          <w:sz w:val="18"/>
          <w:szCs w:val="18"/>
        </w:rPr>
        <w:endnoteRef/>
      </w:r>
      <w:r w:rsidRPr="00E41A80">
        <w:rPr>
          <w:sz w:val="18"/>
          <w:szCs w:val="18"/>
        </w:rPr>
        <w:t xml:space="preserve"> Articles 19 and 32(2) of the Declaration</w:t>
      </w:r>
      <w:r>
        <w:rPr>
          <w:sz w:val="18"/>
          <w:szCs w:val="18"/>
        </w:rPr>
        <w:t>.</w:t>
      </w:r>
    </w:p>
  </w:endnote>
  <w:endnote w:id="62">
    <w:p w14:paraId="499DE016" w14:textId="6C4B330F" w:rsidR="00B417E2" w:rsidRPr="00E41A80" w:rsidRDefault="00B417E2" w:rsidP="00AA489C">
      <w:pPr>
        <w:spacing w:after="120" w:line="240" w:lineRule="auto"/>
        <w:jc w:val="left"/>
        <w:rPr>
          <w:color w:val="000000"/>
          <w:sz w:val="18"/>
          <w:szCs w:val="18"/>
          <w:shd w:val="clear" w:color="auto" w:fill="FFFFFF"/>
        </w:rPr>
      </w:pPr>
      <w:r w:rsidRPr="00714350">
        <w:rPr>
          <w:rStyle w:val="EndnoteReference"/>
          <w:sz w:val="18"/>
          <w:szCs w:val="18"/>
        </w:rPr>
        <w:endnoteRef/>
      </w:r>
      <w:r w:rsidRPr="00E41A80">
        <w:rPr>
          <w:sz w:val="18"/>
          <w:szCs w:val="18"/>
        </w:rPr>
        <w:t xml:space="preserve"> Expert Mechanism on the Rights of Indigenous Peoples,  </w:t>
      </w:r>
      <w:hyperlink r:id="rId29" w:history="1">
        <w:r w:rsidRPr="00714350">
          <w:rPr>
            <w:rStyle w:val="Hyperlink"/>
            <w:i/>
            <w:sz w:val="18"/>
            <w:szCs w:val="18"/>
          </w:rPr>
          <w:t>Progress report on indigenous peoples and the right to participate in decision-making: Report of the Expert Mechanism on the Rights of Indigenous Peoples</w:t>
        </w:r>
      </w:hyperlink>
      <w:r w:rsidRPr="00E41A80">
        <w:rPr>
          <w:sz w:val="18"/>
          <w:szCs w:val="18"/>
        </w:rPr>
        <w:t>, UN Doc A/HRC/EMRIP/2010/2, (23 August 2010) at [2].</w:t>
      </w:r>
    </w:p>
  </w:endnote>
  <w:endnote w:id="63">
    <w:p w14:paraId="4CB42F04" w14:textId="77777777" w:rsidR="00B417E2" w:rsidRPr="00714350" w:rsidRDefault="00B417E2" w:rsidP="00AA489C">
      <w:pPr>
        <w:spacing w:after="120" w:line="240" w:lineRule="auto"/>
        <w:jc w:val="left"/>
        <w:rPr>
          <w:sz w:val="18"/>
          <w:szCs w:val="18"/>
        </w:rPr>
      </w:pPr>
      <w:r w:rsidRPr="00714350">
        <w:rPr>
          <w:rStyle w:val="EndnoteReference"/>
          <w:sz w:val="18"/>
          <w:szCs w:val="18"/>
        </w:rPr>
        <w:endnoteRef/>
      </w:r>
      <w:r w:rsidRPr="00714350">
        <w:rPr>
          <w:sz w:val="18"/>
          <w:szCs w:val="18"/>
        </w:rPr>
        <w:t xml:space="preserve"> Expert Mechanism on the Rights of Indigenous Peoples,  </w:t>
      </w:r>
      <w:hyperlink r:id="rId30" w:history="1">
        <w:r w:rsidRPr="00714350">
          <w:rPr>
            <w:rStyle w:val="Hyperlink"/>
            <w:i/>
            <w:sz w:val="18"/>
            <w:szCs w:val="18"/>
          </w:rPr>
          <w:t>Final study on indigenous peoples and the right to participate in decision-making: Report of the Expert Mechanism on the Rights of Indigenous Peoples</w:t>
        </w:r>
      </w:hyperlink>
      <w:r w:rsidRPr="00714350">
        <w:rPr>
          <w:sz w:val="18"/>
          <w:szCs w:val="18"/>
        </w:rPr>
        <w:t xml:space="preserve">, UN Doc A/HRC/EMRIP/2011/2 (26 May 2011) at Annex [3].  Expert Mechanism on the Rights of Indigenous </w:t>
      </w:r>
      <w:hyperlink r:id="rId31" w:history="1">
        <w:r w:rsidRPr="00714350">
          <w:rPr>
            <w:rStyle w:val="Hyperlink"/>
            <w:i/>
            <w:iCs/>
            <w:sz w:val="18"/>
            <w:szCs w:val="18"/>
          </w:rPr>
          <w:t>Final report of the study on indigenous peoples and the right to participate in decision-making: Report of the Expert Mechanism on the Rights of Indigenous Peoples</w:t>
        </w:r>
        <w:r w:rsidRPr="00714350">
          <w:rPr>
            <w:rStyle w:val="Hyperlink"/>
            <w:sz w:val="18"/>
            <w:szCs w:val="18"/>
          </w:rPr>
          <w:t>,</w:t>
        </w:r>
      </w:hyperlink>
      <w:r w:rsidRPr="00714350">
        <w:rPr>
          <w:sz w:val="18"/>
          <w:szCs w:val="18"/>
        </w:rPr>
        <w:t xml:space="preserve"> UN Doc A HRC/18/42</w:t>
      </w:r>
      <w:r w:rsidRPr="00714350">
        <w:rPr>
          <w:iCs/>
          <w:sz w:val="18"/>
          <w:szCs w:val="18"/>
        </w:rPr>
        <w:t xml:space="preserve"> (17 August 2011) at [</w:t>
      </w:r>
      <w:r w:rsidRPr="00714350">
        <w:rPr>
          <w:sz w:val="18"/>
          <w:szCs w:val="18"/>
        </w:rPr>
        <w:t>3].</w:t>
      </w:r>
    </w:p>
  </w:endnote>
  <w:endnote w:id="64">
    <w:p w14:paraId="322CF6D5" w14:textId="77777777" w:rsidR="00B417E2" w:rsidRPr="00714350" w:rsidRDefault="00B417E2" w:rsidP="00AA489C">
      <w:pPr>
        <w:pStyle w:val="EndnoteText"/>
        <w:spacing w:after="120"/>
        <w:jc w:val="left"/>
        <w:rPr>
          <w:sz w:val="18"/>
          <w:szCs w:val="18"/>
          <w:lang w:val="en-US"/>
        </w:rPr>
      </w:pPr>
      <w:r w:rsidRPr="00714350">
        <w:rPr>
          <w:rStyle w:val="EndnoteReference"/>
          <w:sz w:val="18"/>
          <w:szCs w:val="18"/>
        </w:rPr>
        <w:endnoteRef/>
      </w:r>
      <w:r w:rsidRPr="00714350">
        <w:rPr>
          <w:sz w:val="18"/>
          <w:szCs w:val="18"/>
        </w:rPr>
        <w:t xml:space="preserve"> Committee on Economic, Social and Cultural Rights, </w:t>
      </w:r>
      <w:hyperlink r:id="rId32" w:history="1">
        <w:r w:rsidRPr="00714350">
          <w:rPr>
            <w:rStyle w:val="Hyperlink"/>
            <w:i/>
            <w:sz w:val="18"/>
            <w:szCs w:val="18"/>
          </w:rPr>
          <w:t>General Comment No. 21: Right of everyone to take part in cultural life (art. 15, para. 1 (a), of the International Covenant on Economic, Social and Cultural Rights)</w:t>
        </w:r>
        <w:r w:rsidRPr="00714350">
          <w:rPr>
            <w:rStyle w:val="Hyperlink"/>
            <w:sz w:val="18"/>
            <w:szCs w:val="18"/>
          </w:rPr>
          <w:t>,</w:t>
        </w:r>
      </w:hyperlink>
      <w:r w:rsidRPr="00714350">
        <w:rPr>
          <w:sz w:val="18"/>
          <w:szCs w:val="18"/>
        </w:rPr>
        <w:t xml:space="preserve"> UN Doc E/C.12/GC/21, (21 December 2009) at [37]. </w:t>
      </w:r>
    </w:p>
  </w:endnote>
  <w:endnote w:id="65">
    <w:p w14:paraId="1F7A93A9" w14:textId="77777777"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sidRPr="00E41A80">
        <w:rPr>
          <w:sz w:val="18"/>
          <w:szCs w:val="18"/>
          <w:lang w:val="mi-NZ"/>
        </w:rPr>
        <w:t>Expert Mechanism on the Rights of Indigenous Peoples</w:t>
      </w:r>
      <w:r w:rsidRPr="00714350">
        <w:rPr>
          <w:rStyle w:val="normaltextrun"/>
          <w:sz w:val="18"/>
          <w:szCs w:val="18"/>
          <w:lang w:val="en-US"/>
        </w:rPr>
        <w:t xml:space="preserve">, </w:t>
      </w:r>
      <w:hyperlink r:id="rId33" w:history="1">
        <w:r w:rsidRPr="00714350">
          <w:rPr>
            <w:rStyle w:val="Hyperlink"/>
            <w:i/>
            <w:sz w:val="18"/>
            <w:szCs w:val="18"/>
            <w:lang w:val="en-US"/>
          </w:rPr>
          <w:t>Free, prior and informed consent: a human rights-based approach – Study of the Expert Mechanism on the Rights of Indigenous Peoples</w:t>
        </w:r>
      </w:hyperlink>
      <w:r w:rsidRPr="00714350">
        <w:rPr>
          <w:rStyle w:val="normaltextrun"/>
          <w:sz w:val="18"/>
          <w:szCs w:val="18"/>
          <w:lang w:val="en-US"/>
        </w:rPr>
        <w:t>, UN Doc A/HRC/39/62, (10 August 2018) at [13].</w:t>
      </w:r>
      <w:r w:rsidRPr="00E41A80">
        <w:rPr>
          <w:sz w:val="18"/>
          <w:szCs w:val="18"/>
          <w:lang w:val="mi-NZ"/>
        </w:rPr>
        <w:t xml:space="preserve"> </w:t>
      </w:r>
    </w:p>
  </w:endnote>
  <w:endnote w:id="66">
    <w:p w14:paraId="015BC208" w14:textId="594E8C0F"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Ibid,</w:t>
      </w:r>
      <w:r w:rsidRPr="00714350">
        <w:rPr>
          <w:rStyle w:val="normaltextrun"/>
          <w:sz w:val="18"/>
          <w:szCs w:val="18"/>
          <w:lang w:val="en-US"/>
        </w:rPr>
        <w:t xml:space="preserve"> (10 August 2018) at [</w:t>
      </w:r>
      <w:r w:rsidRPr="00E41A80">
        <w:rPr>
          <w:sz w:val="18"/>
          <w:szCs w:val="18"/>
        </w:rPr>
        <w:t>40].</w:t>
      </w:r>
    </w:p>
  </w:endnote>
  <w:endnote w:id="67">
    <w:p w14:paraId="1F9C54FC" w14:textId="400EC295"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Ibid,</w:t>
      </w:r>
      <w:r w:rsidRPr="00714350">
        <w:rPr>
          <w:rStyle w:val="normaltextrun"/>
          <w:sz w:val="18"/>
          <w:szCs w:val="18"/>
          <w:lang w:val="en-US"/>
        </w:rPr>
        <w:t xml:space="preserve"> (10 August 2018) at [</w:t>
      </w:r>
      <w:r w:rsidRPr="00E41A80">
        <w:rPr>
          <w:sz w:val="18"/>
          <w:szCs w:val="18"/>
        </w:rPr>
        <w:t>41].</w:t>
      </w:r>
    </w:p>
  </w:endnote>
  <w:endnote w:id="68">
    <w:p w14:paraId="0BD5589A" w14:textId="30A049DC"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Ibid,</w:t>
      </w:r>
      <w:r w:rsidRPr="00714350">
        <w:rPr>
          <w:rStyle w:val="normaltextrun"/>
          <w:sz w:val="18"/>
          <w:szCs w:val="18"/>
          <w:lang w:val="en-US"/>
        </w:rPr>
        <w:t xml:space="preserve"> (10 August 2018) at [12].</w:t>
      </w:r>
    </w:p>
  </w:endnote>
  <w:endnote w:id="69">
    <w:p w14:paraId="0A9D37C8" w14:textId="0C96A697"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 xml:space="preserve">Ibid, </w:t>
      </w:r>
      <w:r w:rsidRPr="00714350">
        <w:rPr>
          <w:rStyle w:val="normaltextrun"/>
          <w:sz w:val="18"/>
          <w:szCs w:val="18"/>
          <w:lang w:val="en-US"/>
        </w:rPr>
        <w:t>(10 August 2018) at [5].</w:t>
      </w:r>
    </w:p>
  </w:endnote>
  <w:endnote w:id="70">
    <w:p w14:paraId="4E74DA59" w14:textId="614358D1"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Expert Mechanism on the Rights of Indigenous Peoples, </w:t>
      </w:r>
      <w:hyperlink r:id="rId34" w:history="1">
        <w:r w:rsidRPr="00714350">
          <w:rPr>
            <w:rStyle w:val="Hyperlink"/>
            <w:i/>
            <w:sz w:val="18"/>
            <w:szCs w:val="18"/>
          </w:rPr>
          <w:t>Final report of the study on indigenous peoples and the right to participate in decision making: Report of the Expert Mechanism on the Rights of Indigenous people</w:t>
        </w:r>
      </w:hyperlink>
      <w:r w:rsidRPr="00E41A80">
        <w:rPr>
          <w:sz w:val="18"/>
          <w:szCs w:val="18"/>
        </w:rPr>
        <w:t>, UN Doc A/HRC/18/42 (17 August 2011) Annex at [9].</w:t>
      </w:r>
    </w:p>
  </w:endnote>
  <w:endnote w:id="71">
    <w:p w14:paraId="7EF72458" w14:textId="7704CC16"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rPr>
        <w:t>Ibid,</w:t>
      </w:r>
      <w:r w:rsidRPr="00E41A80">
        <w:rPr>
          <w:sz w:val="18"/>
          <w:szCs w:val="18"/>
        </w:rPr>
        <w:t xml:space="preserve"> (17 August 2011) Annex at [9].</w:t>
      </w:r>
    </w:p>
  </w:endnote>
  <w:endnote w:id="72">
    <w:p w14:paraId="12AB8D14" w14:textId="54DE00C1"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rPr>
        <w:t>Ibid,</w:t>
      </w:r>
      <w:r w:rsidRPr="00E41A80">
        <w:rPr>
          <w:sz w:val="18"/>
          <w:szCs w:val="18"/>
        </w:rPr>
        <w:t xml:space="preserve"> (26 May 2011) at [</w:t>
      </w:r>
      <w:r w:rsidRPr="00E41A80">
        <w:rPr>
          <w:sz w:val="18"/>
          <w:szCs w:val="18"/>
          <w:lang w:val="mi-NZ"/>
        </w:rPr>
        <w:t>9].</w:t>
      </w:r>
    </w:p>
  </w:endnote>
  <w:endnote w:id="73">
    <w:p w14:paraId="5A50054A" w14:textId="0BAD77B1" w:rsidR="00B417E2" w:rsidRPr="00E41A80" w:rsidRDefault="00B417E2" w:rsidP="00AA489C">
      <w:pPr>
        <w:pStyle w:val="EndnoteText"/>
        <w:spacing w:after="120"/>
        <w:jc w:val="left"/>
        <w:rPr>
          <w:sz w:val="18"/>
          <w:szCs w:val="18"/>
          <w:highlight w:val="yellow"/>
          <w:lang w:val="mi-NZ"/>
        </w:rPr>
      </w:pPr>
      <w:r w:rsidRPr="00714350">
        <w:rPr>
          <w:rStyle w:val="EndnoteReference"/>
          <w:sz w:val="18"/>
          <w:szCs w:val="18"/>
        </w:rPr>
        <w:endnoteRef/>
      </w:r>
      <w:r w:rsidRPr="00E41A80">
        <w:rPr>
          <w:sz w:val="18"/>
          <w:szCs w:val="18"/>
        </w:rPr>
        <w:t xml:space="preserve"> </w:t>
      </w:r>
      <w:r w:rsidRPr="00E41A80">
        <w:rPr>
          <w:sz w:val="18"/>
          <w:szCs w:val="18"/>
          <w:lang w:val="mi-NZ"/>
        </w:rPr>
        <w:t>Expert Mechanism on the Rights of Indigenous Peoples</w:t>
      </w:r>
      <w:r w:rsidRPr="00714350">
        <w:rPr>
          <w:rStyle w:val="normaltextrun"/>
          <w:sz w:val="18"/>
          <w:szCs w:val="18"/>
          <w:lang w:val="en-US"/>
        </w:rPr>
        <w:t xml:space="preserve">, </w:t>
      </w:r>
      <w:hyperlink r:id="rId35" w:history="1">
        <w:r w:rsidRPr="00714350">
          <w:rPr>
            <w:rStyle w:val="Hyperlink"/>
            <w:i/>
            <w:sz w:val="18"/>
            <w:szCs w:val="18"/>
            <w:lang w:val="en-US"/>
          </w:rPr>
          <w:t>Free, prior and informed consent: a human rights-based approach – Study of the Expert Mechanism on the Rights of Indigenous Peoples</w:t>
        </w:r>
      </w:hyperlink>
      <w:r w:rsidRPr="00714350">
        <w:rPr>
          <w:rStyle w:val="normaltextrun"/>
          <w:sz w:val="18"/>
          <w:szCs w:val="18"/>
          <w:lang w:val="en-US"/>
        </w:rPr>
        <w:t>, UN Doc A/HRC/39/62, (10 August 2018) at [15].</w:t>
      </w:r>
    </w:p>
  </w:endnote>
  <w:endnote w:id="74">
    <w:p w14:paraId="4AE7DD98" w14:textId="16F01F74"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Ibid,</w:t>
      </w:r>
      <w:r w:rsidRPr="00714350">
        <w:rPr>
          <w:rStyle w:val="normaltextrun"/>
          <w:sz w:val="18"/>
          <w:szCs w:val="18"/>
          <w:lang w:val="en-US"/>
        </w:rPr>
        <w:t xml:space="preserve"> (10 August 2018) at [15].</w:t>
      </w:r>
    </w:p>
  </w:endnote>
  <w:endnote w:id="75">
    <w:p w14:paraId="311B2F9F" w14:textId="08809A86"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Ibid,</w:t>
      </w:r>
      <w:r w:rsidRPr="00E41A80">
        <w:rPr>
          <w:sz w:val="18"/>
          <w:szCs w:val="18"/>
          <w:lang w:val="en-US"/>
        </w:rPr>
        <w:t xml:space="preserve"> (10 August 2018) Annex at [11].</w:t>
      </w:r>
    </w:p>
  </w:endnote>
  <w:endnote w:id="76">
    <w:p w14:paraId="7E6C17A4" w14:textId="2F92ACFB"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Ibid,</w:t>
      </w:r>
      <w:r w:rsidRPr="00714350">
        <w:rPr>
          <w:rStyle w:val="normaltextrun"/>
          <w:sz w:val="18"/>
          <w:szCs w:val="18"/>
          <w:lang w:val="en-US"/>
        </w:rPr>
        <w:t xml:space="preserve"> (10 August 2018) Annex at [9].</w:t>
      </w:r>
    </w:p>
  </w:endnote>
  <w:endnote w:id="77">
    <w:p w14:paraId="51B1C6CB" w14:textId="15A80568" w:rsidR="00B417E2" w:rsidRPr="00E41A80" w:rsidRDefault="00B417E2" w:rsidP="00AA489C">
      <w:pPr>
        <w:pStyle w:val="EndnoteText"/>
        <w:spacing w:after="120"/>
        <w:jc w:val="left"/>
        <w:rPr>
          <w:sz w:val="18"/>
          <w:szCs w:val="18"/>
        </w:rPr>
      </w:pPr>
      <w:r w:rsidRPr="00714350">
        <w:rPr>
          <w:rStyle w:val="EndnoteReference"/>
          <w:sz w:val="18"/>
          <w:szCs w:val="18"/>
        </w:rPr>
        <w:endnoteRef/>
      </w:r>
      <w:r w:rsidRPr="00E41A80">
        <w:rPr>
          <w:sz w:val="18"/>
          <w:szCs w:val="18"/>
        </w:rPr>
        <w:t xml:space="preserve"> The Declaration, Article 28.</w:t>
      </w:r>
    </w:p>
  </w:endnote>
  <w:endnote w:id="78">
    <w:p w14:paraId="7FE81D0A" w14:textId="0D50417B" w:rsidR="00B417E2" w:rsidRPr="004315D4" w:rsidRDefault="00B417E2" w:rsidP="00AA489C">
      <w:pPr>
        <w:pStyle w:val="EndnoteText"/>
        <w:spacing w:after="120"/>
        <w:rPr>
          <w:lang w:val="en-US"/>
        </w:rPr>
      </w:pPr>
      <w:r>
        <w:rPr>
          <w:rStyle w:val="EndnoteReference"/>
        </w:rPr>
        <w:endnoteRef/>
      </w:r>
      <w:r>
        <w:t xml:space="preserve"> </w:t>
      </w:r>
      <w:r w:rsidRPr="00231D83">
        <w:rPr>
          <w:sz w:val="18"/>
          <w:szCs w:val="18"/>
        </w:rPr>
        <w:t>Waitangi Tribunal, Report of the Waitangi Tribunal on the Manukau Claim (WAI-8, 1985) at 35.</w:t>
      </w:r>
    </w:p>
  </w:endnote>
  <w:endnote w:id="79">
    <w:p w14:paraId="2C244412" w14:textId="270BC01E" w:rsidR="00B417E2" w:rsidRPr="00714350" w:rsidRDefault="00B417E2" w:rsidP="00AA489C">
      <w:pPr>
        <w:pStyle w:val="EndnoteText"/>
        <w:spacing w:after="120"/>
        <w:jc w:val="left"/>
        <w:rPr>
          <w:sz w:val="18"/>
          <w:szCs w:val="18"/>
        </w:rPr>
      </w:pPr>
      <w:r w:rsidRPr="00714350">
        <w:rPr>
          <w:rStyle w:val="EndnoteReference"/>
          <w:sz w:val="18"/>
          <w:szCs w:val="18"/>
        </w:rPr>
        <w:endnoteRef/>
      </w:r>
      <w:r w:rsidRPr="00714350">
        <w:rPr>
          <w:sz w:val="18"/>
          <w:szCs w:val="18"/>
        </w:rPr>
        <w:t xml:space="preserve"> Waitangi Tribunal </w:t>
      </w:r>
      <w:hyperlink r:id="rId36" w:history="1">
        <w:r w:rsidRPr="00714350">
          <w:rPr>
            <w:rStyle w:val="Hyperlink"/>
            <w:i/>
            <w:sz w:val="18"/>
            <w:szCs w:val="18"/>
          </w:rPr>
          <w:t>Report on the Crown’s Foreshore and Seabed Policy</w:t>
        </w:r>
      </w:hyperlink>
      <w:r w:rsidRPr="00714350">
        <w:rPr>
          <w:sz w:val="18"/>
          <w:szCs w:val="18"/>
        </w:rPr>
        <w:t xml:space="preserve"> (Wai 1071, 2004).</w:t>
      </w:r>
    </w:p>
  </w:endnote>
  <w:endnote w:id="80">
    <w:p w14:paraId="065436B7" w14:textId="28111082" w:rsidR="00B417E2" w:rsidRPr="00E41A80" w:rsidRDefault="00B417E2" w:rsidP="00AA489C">
      <w:pPr>
        <w:pStyle w:val="EndnoteText"/>
        <w:spacing w:after="120"/>
        <w:jc w:val="left"/>
        <w:rPr>
          <w:sz w:val="18"/>
          <w:szCs w:val="18"/>
        </w:rPr>
      </w:pPr>
      <w:r w:rsidRPr="00714350">
        <w:rPr>
          <w:rStyle w:val="EndnoteReference"/>
          <w:sz w:val="18"/>
          <w:szCs w:val="18"/>
        </w:rPr>
        <w:endnoteRef/>
      </w:r>
      <w:r w:rsidRPr="00E41A80">
        <w:rPr>
          <w:sz w:val="18"/>
          <w:szCs w:val="18"/>
        </w:rPr>
        <w:t xml:space="preserve"> Waitangi Tribunal, Principles of the Treaty, (19 September 2016)</w:t>
      </w:r>
      <w:r>
        <w:rPr>
          <w:sz w:val="18"/>
          <w:szCs w:val="18"/>
        </w:rPr>
        <w:t>.</w:t>
      </w:r>
      <w:r w:rsidRPr="00E41A80">
        <w:rPr>
          <w:sz w:val="18"/>
          <w:szCs w:val="18"/>
        </w:rPr>
        <w:t xml:space="preserve"> &lt;</w:t>
      </w:r>
      <w:hyperlink r:id="rId37" w:history="1">
        <w:r w:rsidRPr="00714350">
          <w:rPr>
            <w:rStyle w:val="Hyperlink"/>
            <w:sz w:val="18"/>
            <w:szCs w:val="18"/>
          </w:rPr>
          <w:t>https://www.waitangitribunal.govt.nz/treaty-of-waitangi/principles-of-the-treaty/</w:t>
        </w:r>
      </w:hyperlink>
      <w:r w:rsidRPr="00E41A80">
        <w:rPr>
          <w:sz w:val="18"/>
          <w:szCs w:val="18"/>
        </w:rPr>
        <w:t>&gt;</w:t>
      </w:r>
    </w:p>
  </w:endnote>
  <w:endnote w:id="81">
    <w:p w14:paraId="67C3CB97" w14:textId="69E43202" w:rsidR="00B417E2" w:rsidRPr="00E41A80" w:rsidRDefault="00B417E2" w:rsidP="00AA489C">
      <w:pPr>
        <w:pStyle w:val="EndnoteText"/>
        <w:spacing w:after="120"/>
        <w:jc w:val="left"/>
        <w:rPr>
          <w:sz w:val="18"/>
          <w:szCs w:val="18"/>
        </w:rPr>
      </w:pPr>
      <w:r w:rsidRPr="00714350">
        <w:rPr>
          <w:rStyle w:val="EndnoteReference"/>
          <w:sz w:val="18"/>
          <w:szCs w:val="18"/>
        </w:rPr>
        <w:endnoteRef/>
      </w:r>
      <w:r w:rsidRPr="00E41A80">
        <w:rPr>
          <w:sz w:val="18"/>
          <w:szCs w:val="18"/>
        </w:rPr>
        <w:t xml:space="preserve"> The Declaration, Article 28.</w:t>
      </w:r>
    </w:p>
  </w:endnote>
  <w:endnote w:id="82">
    <w:p w14:paraId="0DE6CE20" w14:textId="77777777" w:rsidR="00B417E2" w:rsidRPr="00E41A80" w:rsidRDefault="00B417E2" w:rsidP="00AA489C">
      <w:pPr>
        <w:pStyle w:val="EndnoteText"/>
        <w:spacing w:after="120"/>
        <w:jc w:val="left"/>
        <w:rPr>
          <w:sz w:val="18"/>
          <w:szCs w:val="18"/>
        </w:rPr>
      </w:pPr>
      <w:r w:rsidRPr="00714350">
        <w:rPr>
          <w:rStyle w:val="EndnoteReference"/>
          <w:sz w:val="18"/>
          <w:szCs w:val="18"/>
        </w:rPr>
        <w:endnoteRef/>
      </w:r>
      <w:r w:rsidRPr="00E41A80">
        <w:rPr>
          <w:sz w:val="18"/>
          <w:szCs w:val="18"/>
        </w:rPr>
        <w:t xml:space="preserve"> </w:t>
      </w:r>
      <w:r w:rsidRPr="00E41A80">
        <w:rPr>
          <w:i/>
          <w:sz w:val="18"/>
          <w:szCs w:val="18"/>
        </w:rPr>
        <w:t>Hopu and Bessert v France</w:t>
      </w:r>
      <w:r w:rsidRPr="00E41A80">
        <w:rPr>
          <w:sz w:val="18"/>
          <w:szCs w:val="18"/>
        </w:rPr>
        <w:t>, Human Rights Committee, Communication No. 549/1993, UN Doc CCPR/C/60/D/549/1993/Rev.1. (29 July 1997) found that the construction of the hotel complex that would destroy indigenous peoples ancestral burial ground breached their rights and they were entitled to an appropriate remedy</w:t>
      </w:r>
      <w:r>
        <w:rPr>
          <w:sz w:val="18"/>
          <w:szCs w:val="18"/>
        </w:rPr>
        <w:t>.</w:t>
      </w:r>
    </w:p>
  </w:endnote>
  <w:endnote w:id="83">
    <w:p w14:paraId="5D665A23" w14:textId="0B0E9006" w:rsidR="00B417E2" w:rsidRPr="00E41A80" w:rsidRDefault="00B417E2" w:rsidP="00AA489C">
      <w:pPr>
        <w:pStyle w:val="EndnoteText"/>
        <w:spacing w:after="120"/>
        <w:jc w:val="left"/>
        <w:rPr>
          <w:sz w:val="18"/>
          <w:szCs w:val="18"/>
        </w:rPr>
      </w:pPr>
      <w:r w:rsidRPr="00714350">
        <w:rPr>
          <w:rStyle w:val="EndnoteReference"/>
          <w:sz w:val="18"/>
          <w:szCs w:val="18"/>
        </w:rPr>
        <w:endnoteRef/>
      </w:r>
      <w:r w:rsidRPr="00E41A80">
        <w:rPr>
          <w:sz w:val="18"/>
          <w:szCs w:val="18"/>
        </w:rPr>
        <w:t xml:space="preserve"> </w:t>
      </w:r>
      <w:r w:rsidRPr="00E41A80">
        <w:rPr>
          <w:i/>
          <w:snapToGrid w:val="0"/>
          <w:sz w:val="18"/>
          <w:szCs w:val="18"/>
        </w:rPr>
        <w:t xml:space="preserve">Sawhoyamaxa Indigenous Community v Paraguay (Merits, reparations and costs) </w:t>
      </w:r>
      <w:r w:rsidRPr="00E41A80">
        <w:rPr>
          <w:snapToGrid w:val="0"/>
          <w:sz w:val="18"/>
          <w:szCs w:val="18"/>
        </w:rPr>
        <w:t xml:space="preserve">(2006) 146 IACHR (Series C) (IACtHR) at [128]. </w:t>
      </w:r>
      <w:r w:rsidRPr="00E41A80">
        <w:rPr>
          <w:noProof/>
          <w:sz w:val="18"/>
          <w:szCs w:val="18"/>
        </w:rPr>
        <w:t>Here the Court held the right to restitution of lands not possessed by indigenous persons continued so long as spiritual and material basis for indigenous identity is mainly supported by their unique relationship with their lands.</w:t>
      </w:r>
      <w:r w:rsidRPr="00E41A80">
        <w:rPr>
          <w:snapToGrid w:val="0"/>
          <w:sz w:val="18"/>
          <w:szCs w:val="18"/>
        </w:rPr>
        <w:t xml:space="preserve"> See also </w:t>
      </w:r>
      <w:r w:rsidRPr="00E41A80">
        <w:rPr>
          <w:sz w:val="18"/>
          <w:szCs w:val="18"/>
        </w:rPr>
        <w:t xml:space="preserve">C Charters “The Rights of Indigenous Peoples under International Law and their Domestic Relevance in Aotearoa New Zealand” in M Bedggood, K Gledhill and I McIntosh (eds) International Human Rights Law in Aotearoa New Zealand (Thomson Reuters, Wellington, 2017) at 810. </w:t>
      </w:r>
    </w:p>
  </w:endnote>
  <w:endnote w:id="84">
    <w:p w14:paraId="3A9CDB57" w14:textId="4F680DD6" w:rsidR="00B417E2" w:rsidRPr="00E41A80" w:rsidRDefault="00B417E2" w:rsidP="00AA489C">
      <w:pPr>
        <w:pStyle w:val="EndnoteText"/>
        <w:spacing w:after="120"/>
        <w:jc w:val="left"/>
        <w:rPr>
          <w:sz w:val="18"/>
          <w:szCs w:val="18"/>
        </w:rPr>
      </w:pPr>
      <w:r w:rsidRPr="00714350">
        <w:rPr>
          <w:rStyle w:val="EndnoteReference"/>
          <w:sz w:val="18"/>
          <w:szCs w:val="18"/>
        </w:rPr>
        <w:endnoteRef/>
      </w:r>
      <w:r w:rsidR="00DC6B62">
        <w:rPr>
          <w:sz w:val="18"/>
          <w:szCs w:val="18"/>
        </w:rPr>
        <w:t xml:space="preserve"> </w:t>
      </w:r>
      <w:r w:rsidRPr="00E41A80">
        <w:rPr>
          <w:sz w:val="18"/>
          <w:szCs w:val="18"/>
        </w:rPr>
        <w:t>Centre of Minority Rights Development (Kenya) and Minority Rights Group International on behalf of Endorois Welfare Council v Kenya (2010) ACHPR 276/2003, found indigenous peoples continued to have a right to property that they had not possessed for two and a half decades.</w:t>
      </w:r>
    </w:p>
  </w:endnote>
  <w:endnote w:id="85">
    <w:p w14:paraId="1FF18B82" w14:textId="77777777"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Committee on the Elimination of Racial Discrimination, </w:t>
      </w:r>
      <w:hyperlink r:id="rId38" w:history="1">
        <w:r w:rsidRPr="00714350">
          <w:rPr>
            <w:rStyle w:val="Hyperlink"/>
            <w:i/>
            <w:sz w:val="18"/>
            <w:szCs w:val="18"/>
          </w:rPr>
          <w:t>General Recommendation No. 23: Indigenous Peoples</w:t>
        </w:r>
      </w:hyperlink>
      <w:r w:rsidRPr="00E41A80">
        <w:rPr>
          <w:sz w:val="18"/>
          <w:szCs w:val="18"/>
        </w:rPr>
        <w:t xml:space="preserve"> 51</w:t>
      </w:r>
      <w:r w:rsidRPr="00E41A80">
        <w:rPr>
          <w:sz w:val="18"/>
          <w:szCs w:val="18"/>
          <w:vertAlign w:val="superscript"/>
        </w:rPr>
        <w:t>st</w:t>
      </w:r>
      <w:r w:rsidRPr="00E41A80">
        <w:rPr>
          <w:sz w:val="18"/>
          <w:szCs w:val="18"/>
        </w:rPr>
        <w:t xml:space="preserve"> Session, UN Doc U.N. Doc. A/52/18, annex V at 122 (18 August 1997) at [5].</w:t>
      </w:r>
    </w:p>
  </w:endnote>
  <w:endnote w:id="86">
    <w:p w14:paraId="792C334C" w14:textId="238A3560"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sidRPr="00E41A80">
        <w:rPr>
          <w:sz w:val="18"/>
          <w:szCs w:val="18"/>
          <w:lang w:val="mi-NZ"/>
        </w:rPr>
        <w:t>Expert Mechanism on the Rights of Indigenous Peoples</w:t>
      </w:r>
      <w:r w:rsidRPr="00714350">
        <w:rPr>
          <w:rStyle w:val="normaltextrun"/>
          <w:sz w:val="18"/>
          <w:szCs w:val="18"/>
          <w:lang w:val="en-US"/>
        </w:rPr>
        <w:t xml:space="preserve">, </w:t>
      </w:r>
      <w:hyperlink r:id="rId39" w:history="1">
        <w:r w:rsidRPr="00714350">
          <w:rPr>
            <w:rStyle w:val="Hyperlink"/>
            <w:i/>
            <w:sz w:val="18"/>
            <w:szCs w:val="18"/>
            <w:lang w:val="en-US"/>
          </w:rPr>
          <w:t>Free, prior and informed consent: a human rights-based approach – Study of the Expert Mechanism on the Rights of Indigenous Peoples</w:t>
        </w:r>
      </w:hyperlink>
      <w:r w:rsidRPr="00714350">
        <w:rPr>
          <w:rStyle w:val="normaltextrun"/>
          <w:sz w:val="18"/>
          <w:szCs w:val="18"/>
          <w:lang w:val="en-US"/>
        </w:rPr>
        <w:t>, UN Doc A/HRC/39/62, (10 August 2018) at [20].</w:t>
      </w:r>
    </w:p>
  </w:endnote>
  <w:endnote w:id="87">
    <w:p w14:paraId="2FB8E532" w14:textId="2E9E6D3A"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Ibid,</w:t>
      </w:r>
      <w:r w:rsidRPr="00714350">
        <w:rPr>
          <w:rStyle w:val="normaltextrun"/>
          <w:sz w:val="18"/>
          <w:szCs w:val="18"/>
          <w:lang w:val="en-US"/>
        </w:rPr>
        <w:t xml:space="preserve"> (10 August 2018) at [21].</w:t>
      </w:r>
    </w:p>
  </w:endnote>
  <w:endnote w:id="88">
    <w:p w14:paraId="136E6640" w14:textId="7FB2F4B0" w:rsidR="00B417E2" w:rsidRPr="00E41A80" w:rsidRDefault="00B417E2" w:rsidP="00AA489C">
      <w:pPr>
        <w:pStyle w:val="EndnoteText"/>
        <w:spacing w:after="120"/>
        <w:jc w:val="left"/>
        <w:rPr>
          <w:sz w:val="18"/>
          <w:szCs w:val="18"/>
          <w:lang w:val="en-US"/>
        </w:rPr>
      </w:pPr>
      <w:r w:rsidRPr="00E41A80">
        <w:rPr>
          <w:rStyle w:val="EndnoteReference"/>
          <w:sz w:val="18"/>
          <w:szCs w:val="18"/>
        </w:rPr>
        <w:endnoteRef/>
      </w:r>
      <w:r w:rsidRPr="00E41A80">
        <w:rPr>
          <w:sz w:val="18"/>
          <w:szCs w:val="18"/>
        </w:rPr>
        <w:t xml:space="preserve"> </w:t>
      </w:r>
      <w:r w:rsidRPr="00E41A80">
        <w:rPr>
          <w:sz w:val="18"/>
          <w:szCs w:val="18"/>
          <w:lang w:val="en-US"/>
        </w:rPr>
        <w:t>Article 27</w:t>
      </w:r>
      <w:r w:rsidR="00DC6B62">
        <w:rPr>
          <w:sz w:val="18"/>
          <w:szCs w:val="18"/>
          <w:lang w:val="en-US"/>
        </w:rPr>
        <w:t>.</w:t>
      </w:r>
      <w:r w:rsidRPr="00E41A80">
        <w:rPr>
          <w:sz w:val="18"/>
          <w:szCs w:val="18"/>
          <w:lang w:val="en-US"/>
        </w:rPr>
        <w:t xml:space="preserve"> </w:t>
      </w:r>
    </w:p>
  </w:endnote>
  <w:endnote w:id="89">
    <w:p w14:paraId="1BE778D0" w14:textId="6D39242A"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sidRPr="00E41A80">
        <w:rPr>
          <w:sz w:val="18"/>
          <w:szCs w:val="18"/>
          <w:lang w:val="mi-NZ"/>
        </w:rPr>
        <w:t>Expert Mechanism on the Rights of Indigenous Peoples</w:t>
      </w:r>
      <w:r w:rsidRPr="00714350">
        <w:rPr>
          <w:rStyle w:val="normaltextrun"/>
          <w:sz w:val="18"/>
          <w:szCs w:val="18"/>
          <w:lang w:val="en-US"/>
        </w:rPr>
        <w:t>,</w:t>
      </w:r>
      <w:r w:rsidRPr="00E41A80">
        <w:rPr>
          <w:sz w:val="18"/>
          <w:szCs w:val="18"/>
          <w:lang w:val="mi-NZ"/>
        </w:rPr>
        <w:t xml:space="preserve"> </w:t>
      </w:r>
      <w:hyperlink r:id="rId40" w:history="1">
        <w:r w:rsidRPr="00714350">
          <w:rPr>
            <w:rStyle w:val="Hyperlink"/>
            <w:i/>
            <w:sz w:val="18"/>
            <w:szCs w:val="18"/>
            <w:lang w:val="mi-NZ"/>
          </w:rPr>
          <w:t>Access to justice in the promotion and protection of the rights of indigenous peoples - A study by the Expert Mechanism on the Righs of Indigenous Peoples</w:t>
        </w:r>
      </w:hyperlink>
      <w:r w:rsidRPr="00E41A80">
        <w:rPr>
          <w:sz w:val="18"/>
          <w:szCs w:val="18"/>
          <w:lang w:val="mi-NZ"/>
        </w:rPr>
        <w:t>, UN Doc A/HRC/24/50 (30 July 2013).</w:t>
      </w:r>
    </w:p>
  </w:endnote>
  <w:endnote w:id="90">
    <w:p w14:paraId="4CC1D188" w14:textId="29FEE477"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Ibid,</w:t>
      </w:r>
      <w:r w:rsidRPr="00E41A80">
        <w:rPr>
          <w:sz w:val="18"/>
          <w:szCs w:val="18"/>
          <w:lang w:val="mi-NZ"/>
        </w:rPr>
        <w:t xml:space="preserve"> (30 July 2013) at </w:t>
      </w:r>
      <w:r>
        <w:rPr>
          <w:sz w:val="18"/>
          <w:szCs w:val="18"/>
          <w:lang w:val="mi-NZ"/>
        </w:rPr>
        <w:t>[</w:t>
      </w:r>
      <w:r w:rsidRPr="00E41A80">
        <w:rPr>
          <w:sz w:val="18"/>
          <w:szCs w:val="18"/>
          <w:lang w:val="mi-NZ"/>
        </w:rPr>
        <w:t>3-4</w:t>
      </w:r>
      <w:r>
        <w:rPr>
          <w:sz w:val="18"/>
          <w:szCs w:val="18"/>
          <w:lang w:val="mi-NZ"/>
        </w:rPr>
        <w:t>]</w:t>
      </w:r>
      <w:r w:rsidRPr="00E41A80">
        <w:rPr>
          <w:sz w:val="18"/>
          <w:szCs w:val="18"/>
          <w:lang w:val="mi-NZ"/>
        </w:rPr>
        <w:t>.</w:t>
      </w:r>
    </w:p>
  </w:endnote>
  <w:endnote w:id="91">
    <w:p w14:paraId="3ED13AA6" w14:textId="545D1493"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r>
        <w:rPr>
          <w:sz w:val="18"/>
          <w:szCs w:val="18"/>
          <w:lang w:val="mi-NZ"/>
        </w:rPr>
        <w:t>Ibid,</w:t>
      </w:r>
      <w:r w:rsidRPr="00E41A80">
        <w:rPr>
          <w:sz w:val="18"/>
          <w:szCs w:val="18"/>
          <w:lang w:val="mi-NZ"/>
        </w:rPr>
        <w:t xml:space="preserve"> (30 July 2013) at </w:t>
      </w:r>
      <w:r>
        <w:rPr>
          <w:sz w:val="18"/>
          <w:szCs w:val="18"/>
          <w:lang w:val="mi-NZ"/>
        </w:rPr>
        <w:t>[</w:t>
      </w:r>
      <w:r w:rsidRPr="00E41A80">
        <w:rPr>
          <w:sz w:val="18"/>
          <w:szCs w:val="18"/>
          <w:lang w:val="mi-NZ"/>
        </w:rPr>
        <w:t>24</w:t>
      </w:r>
      <w:r>
        <w:rPr>
          <w:sz w:val="18"/>
          <w:szCs w:val="18"/>
          <w:lang w:val="mi-NZ"/>
        </w:rPr>
        <w:t>]</w:t>
      </w:r>
      <w:r w:rsidRPr="00E41A80">
        <w:rPr>
          <w:sz w:val="18"/>
          <w:szCs w:val="18"/>
          <w:lang w:val="mi-NZ"/>
        </w:rPr>
        <w:t>.</w:t>
      </w:r>
    </w:p>
  </w:endnote>
  <w:endnote w:id="92">
    <w:p w14:paraId="49668416" w14:textId="7448EE64"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Pr>
          <w:sz w:val="18"/>
          <w:szCs w:val="18"/>
        </w:rPr>
        <w:t xml:space="preserve"> Ibid, </w:t>
      </w:r>
      <w:r w:rsidRPr="00714350">
        <w:rPr>
          <w:rStyle w:val="normaltextrun"/>
          <w:sz w:val="18"/>
          <w:szCs w:val="18"/>
          <w:lang w:val="en-US"/>
        </w:rPr>
        <w:t>(10 August 2018) at [22].</w:t>
      </w:r>
    </w:p>
  </w:endnote>
  <w:endnote w:id="93">
    <w:p w14:paraId="3057216E" w14:textId="39858353" w:rsidR="00B417E2" w:rsidRPr="00E41A80" w:rsidRDefault="00B417E2" w:rsidP="00AA489C">
      <w:pPr>
        <w:pStyle w:val="EndnoteText"/>
        <w:spacing w:after="120"/>
        <w:jc w:val="left"/>
        <w:rPr>
          <w:sz w:val="18"/>
          <w:szCs w:val="18"/>
          <w:lang w:val="en-US"/>
        </w:rPr>
      </w:pPr>
      <w:r w:rsidRPr="00714350">
        <w:rPr>
          <w:rStyle w:val="EndnoteReference"/>
          <w:sz w:val="18"/>
          <w:szCs w:val="18"/>
        </w:rPr>
        <w:endnoteRef/>
      </w:r>
      <w:r w:rsidRPr="00E41A80">
        <w:rPr>
          <w:sz w:val="18"/>
          <w:szCs w:val="18"/>
        </w:rPr>
        <w:t xml:space="preserve"> Human Rights Council, </w:t>
      </w:r>
      <w:hyperlink r:id="rId41" w:history="1">
        <w:r w:rsidRPr="00714350">
          <w:rPr>
            <w:rStyle w:val="Hyperlink"/>
            <w:i/>
            <w:sz w:val="18"/>
            <w:szCs w:val="18"/>
          </w:rPr>
          <w:t>Guiding Principles on Business and Human Rights</w:t>
        </w:r>
      </w:hyperlink>
      <w:r w:rsidRPr="00E41A80">
        <w:rPr>
          <w:sz w:val="18"/>
          <w:szCs w:val="18"/>
        </w:rPr>
        <w:t xml:space="preserve"> UN Doc A/HRC/71/31 (21 March 2011) Annex.</w:t>
      </w:r>
    </w:p>
  </w:endnote>
  <w:endnote w:id="94">
    <w:p w14:paraId="6AA17201" w14:textId="77777777" w:rsidR="00B417E2" w:rsidRPr="00E41A80" w:rsidRDefault="00B417E2" w:rsidP="00AA489C">
      <w:pPr>
        <w:pStyle w:val="EndnoteText"/>
        <w:spacing w:after="120"/>
        <w:jc w:val="left"/>
        <w:rPr>
          <w:sz w:val="18"/>
          <w:szCs w:val="18"/>
          <w:lang w:val="en-US"/>
        </w:rPr>
      </w:pPr>
      <w:r w:rsidRPr="00714350">
        <w:rPr>
          <w:rStyle w:val="EndnoteReference"/>
          <w:sz w:val="18"/>
          <w:szCs w:val="18"/>
        </w:rPr>
        <w:endnoteRef/>
      </w:r>
      <w:r w:rsidRPr="00E41A80">
        <w:rPr>
          <w:sz w:val="18"/>
          <w:szCs w:val="18"/>
        </w:rPr>
        <w:t xml:space="preserve"> The United Nations Global Compact has </w:t>
      </w:r>
      <w:r w:rsidRPr="00714350">
        <w:rPr>
          <w:rStyle w:val="normaltextrun"/>
          <w:color w:val="000000"/>
          <w:sz w:val="18"/>
          <w:szCs w:val="18"/>
          <w:bdr w:val="none" w:sz="0" w:space="0" w:color="auto" w:frame="1"/>
        </w:rPr>
        <w:t>over 9,500 companies based in over 160 countries.</w:t>
      </w:r>
    </w:p>
  </w:endnote>
  <w:endnote w:id="95">
    <w:p w14:paraId="4E9F7298" w14:textId="77777777" w:rsidR="00B417E2" w:rsidRPr="00714350" w:rsidRDefault="00B417E2" w:rsidP="00AA489C">
      <w:pPr>
        <w:pStyle w:val="EndnoteText"/>
        <w:spacing w:after="120"/>
        <w:jc w:val="left"/>
        <w:rPr>
          <w:sz w:val="18"/>
          <w:szCs w:val="18"/>
          <w:lang w:val="en-US"/>
        </w:rPr>
      </w:pPr>
      <w:r w:rsidRPr="00714350">
        <w:rPr>
          <w:rStyle w:val="EndnoteReference"/>
          <w:sz w:val="18"/>
          <w:szCs w:val="18"/>
        </w:rPr>
        <w:endnoteRef/>
      </w:r>
      <w:r w:rsidRPr="00714350">
        <w:rPr>
          <w:sz w:val="18"/>
          <w:szCs w:val="18"/>
        </w:rPr>
        <w:t xml:space="preserve"> Amy K Lehr, </w:t>
      </w:r>
      <w:hyperlink r:id="rId42" w:history="1">
        <w:r w:rsidRPr="00714350">
          <w:rPr>
            <w:rStyle w:val="Hyperlink"/>
            <w:i/>
            <w:sz w:val="18"/>
            <w:szCs w:val="18"/>
          </w:rPr>
          <w:t>Indigenous Peoples’ Rights and the Role of Free, Prior and Informed Consent – A Good Practice Note endorsed by the United Nations Global Compact Human Rights and Labour Working Group on 20 February 2014</w:t>
        </w:r>
      </w:hyperlink>
      <w:r w:rsidRPr="00714350">
        <w:rPr>
          <w:sz w:val="18"/>
          <w:szCs w:val="18"/>
        </w:rPr>
        <w:t>,  (20 February 2014).</w:t>
      </w:r>
    </w:p>
  </w:endnote>
  <w:endnote w:id="96">
    <w:p w14:paraId="55FC1014" w14:textId="5F14CAD1" w:rsidR="00B417E2" w:rsidRPr="00714350" w:rsidRDefault="00B417E2" w:rsidP="00AA489C">
      <w:pPr>
        <w:pStyle w:val="EndnoteText"/>
        <w:spacing w:after="120"/>
        <w:jc w:val="left"/>
        <w:rPr>
          <w:sz w:val="18"/>
          <w:szCs w:val="18"/>
          <w:lang w:val="en-US"/>
        </w:rPr>
      </w:pPr>
      <w:r w:rsidRPr="00714350">
        <w:rPr>
          <w:rStyle w:val="EndnoteReference"/>
          <w:sz w:val="18"/>
          <w:szCs w:val="18"/>
        </w:rPr>
        <w:endnoteRef/>
      </w:r>
      <w:r w:rsidRPr="00714350">
        <w:rPr>
          <w:sz w:val="18"/>
          <w:szCs w:val="18"/>
        </w:rPr>
        <w:t xml:space="preserve"> </w:t>
      </w:r>
      <w:r>
        <w:rPr>
          <w:sz w:val="18"/>
          <w:szCs w:val="18"/>
        </w:rPr>
        <w:t>Ibid,</w:t>
      </w:r>
      <w:r w:rsidRPr="00714350">
        <w:rPr>
          <w:sz w:val="18"/>
          <w:szCs w:val="18"/>
        </w:rPr>
        <w:t xml:space="preserve"> (20 February 2014).</w:t>
      </w:r>
    </w:p>
  </w:endnote>
  <w:endnote w:id="97">
    <w:p w14:paraId="7834A847" w14:textId="63C1FCFE"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w:t>
      </w:r>
      <w:r w:rsidRPr="00616F07">
        <w:rPr>
          <w:sz w:val="18"/>
          <w:szCs w:val="18"/>
          <w:lang w:val="mi-NZ"/>
        </w:rPr>
        <w:t>Expert Mechanism on the Rights of Indigenous Peoples</w:t>
      </w:r>
      <w:r w:rsidRPr="00616F07">
        <w:rPr>
          <w:sz w:val="18"/>
          <w:szCs w:val="18"/>
          <w:lang w:val="en-US"/>
        </w:rPr>
        <w:t xml:space="preserve">, </w:t>
      </w:r>
      <w:hyperlink r:id="rId43" w:history="1">
        <w:r w:rsidRPr="00616F07">
          <w:rPr>
            <w:rStyle w:val="Hyperlink"/>
            <w:i/>
            <w:sz w:val="18"/>
            <w:szCs w:val="18"/>
            <w:lang w:val="en-US"/>
          </w:rPr>
          <w:t>Free, prior and informed consent: a human rights-based approach – Study of the Expert Mechanism on the Rights of Indigenous Peoples</w:t>
        </w:r>
      </w:hyperlink>
      <w:r w:rsidRPr="00616F07">
        <w:rPr>
          <w:sz w:val="18"/>
          <w:szCs w:val="18"/>
          <w:lang w:val="en-US"/>
        </w:rPr>
        <w:t xml:space="preserve">, UN Doc A/HRC/39/62, (10 August 2018) </w:t>
      </w:r>
      <w:r>
        <w:rPr>
          <w:sz w:val="18"/>
          <w:szCs w:val="18"/>
          <w:lang w:val="en-US"/>
        </w:rPr>
        <w:t>at</w:t>
      </w:r>
      <w:r w:rsidRPr="00616F07">
        <w:rPr>
          <w:sz w:val="18"/>
          <w:szCs w:val="18"/>
          <w:lang w:val="en-US"/>
        </w:rPr>
        <w:t xml:space="preserve"> [4]</w:t>
      </w:r>
    </w:p>
  </w:endnote>
  <w:endnote w:id="98">
    <w:p w14:paraId="22D7EEF7" w14:textId="0F620DA9"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w:t>
      </w:r>
      <w:r w:rsidRPr="0006422F">
        <w:rPr>
          <w:sz w:val="18"/>
          <w:szCs w:val="18"/>
        </w:rPr>
        <w:t>Ibid at [1</w:t>
      </w:r>
      <w:r>
        <w:rPr>
          <w:sz w:val="18"/>
          <w:szCs w:val="18"/>
        </w:rPr>
        <w:t>7</w:t>
      </w:r>
      <w:r w:rsidRPr="0006422F">
        <w:rPr>
          <w:sz w:val="18"/>
          <w:szCs w:val="18"/>
        </w:rPr>
        <w:t>]</w:t>
      </w:r>
      <w:r w:rsidR="00DC6B62">
        <w:rPr>
          <w:sz w:val="18"/>
          <w:szCs w:val="18"/>
        </w:rPr>
        <w:t>.</w:t>
      </w:r>
    </w:p>
  </w:endnote>
  <w:endnote w:id="99">
    <w:p w14:paraId="3533AE20" w14:textId="3BB59EED"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w:t>
      </w:r>
      <w:r w:rsidRPr="00A66688">
        <w:rPr>
          <w:sz w:val="18"/>
          <w:szCs w:val="18"/>
          <w:lang w:val="en-US"/>
        </w:rPr>
        <w:t>Report of the Working Group on the Universal Periodic Review: New Zealand</w:t>
      </w:r>
      <w:r>
        <w:rPr>
          <w:sz w:val="18"/>
          <w:szCs w:val="18"/>
          <w:lang w:val="en-US"/>
        </w:rPr>
        <w:t>,</w:t>
      </w:r>
      <w:r w:rsidRPr="00A66688">
        <w:rPr>
          <w:sz w:val="18"/>
          <w:szCs w:val="18"/>
          <w:lang w:val="en-US"/>
        </w:rPr>
        <w:t xml:space="preserve"> A/HRC/41/1/Add.1, 17 June 2019, paragraph 20</w:t>
      </w:r>
      <w:r>
        <w:rPr>
          <w:sz w:val="18"/>
          <w:szCs w:val="18"/>
          <w:lang w:val="en-US"/>
        </w:rPr>
        <w:t>.</w:t>
      </w:r>
    </w:p>
  </w:endnote>
  <w:endnote w:id="100">
    <w:p w14:paraId="4EB65451" w14:textId="348513A9" w:rsidR="00B417E2" w:rsidRPr="00E41A80" w:rsidRDefault="00B417E2" w:rsidP="00AA489C">
      <w:pPr>
        <w:pStyle w:val="EndnoteText"/>
        <w:spacing w:after="120"/>
        <w:jc w:val="left"/>
        <w:rPr>
          <w:sz w:val="18"/>
          <w:szCs w:val="18"/>
          <w:lang w:val="mi-NZ"/>
        </w:rPr>
      </w:pPr>
      <w:r w:rsidRPr="00714350">
        <w:rPr>
          <w:rStyle w:val="EndnoteReference"/>
          <w:sz w:val="18"/>
          <w:szCs w:val="18"/>
        </w:rPr>
        <w:endnoteRef/>
      </w:r>
      <w:r w:rsidRPr="00E41A80">
        <w:rPr>
          <w:sz w:val="18"/>
          <w:szCs w:val="18"/>
        </w:rPr>
        <w:t xml:space="preserve"> </w:t>
      </w:r>
      <w:hyperlink r:id="rId44" w:history="1">
        <w:r w:rsidRPr="00714350">
          <w:rPr>
            <w:rStyle w:val="Hyperlink"/>
            <w:i/>
            <w:sz w:val="18"/>
            <w:szCs w:val="18"/>
          </w:rPr>
          <w:t>Mandates of the Special Rapporteur on adequate housing as a component of the right to an adequate standard of living and on the right to non-discrimination in this context and the Special Rapporteur on the rights of indigenous peoples</w:t>
        </w:r>
      </w:hyperlink>
      <w:r w:rsidRPr="00E41A80">
        <w:rPr>
          <w:sz w:val="18"/>
          <w:szCs w:val="18"/>
        </w:rPr>
        <w:t xml:space="preserve">, (AL NZL 1/2019, 22 March 2019). </w:t>
      </w:r>
    </w:p>
  </w:endnote>
  <w:endnote w:id="101">
    <w:p w14:paraId="660B1DD9" w14:textId="4765C808" w:rsidR="00B417E2" w:rsidRPr="009C3E70" w:rsidRDefault="00B417E2" w:rsidP="00AA489C">
      <w:pPr>
        <w:pStyle w:val="EndnoteText"/>
        <w:spacing w:after="120"/>
        <w:jc w:val="left"/>
        <w:rPr>
          <w:bCs/>
          <w:i/>
          <w:sz w:val="18"/>
          <w:szCs w:val="18"/>
        </w:rPr>
      </w:pPr>
      <w:r w:rsidRPr="00E41A80">
        <w:rPr>
          <w:rStyle w:val="EndnoteReference"/>
          <w:sz w:val="18"/>
          <w:szCs w:val="18"/>
        </w:rPr>
        <w:endnoteRef/>
      </w:r>
      <w:r w:rsidRPr="00E41A80">
        <w:rPr>
          <w:sz w:val="18"/>
          <w:szCs w:val="18"/>
        </w:rPr>
        <w:t xml:space="preserve"> Hon Andrew Little, Minister of Justice, </w:t>
      </w:r>
      <w:r w:rsidRPr="00E41A80">
        <w:rPr>
          <w:bCs/>
          <w:i/>
          <w:sz w:val="18"/>
          <w:szCs w:val="18"/>
        </w:rPr>
        <w:t xml:space="preserve">Andrew Little speech to United Nations Human Rights Council for the third Universal Periodic Review, </w:t>
      </w:r>
      <w:r w:rsidRPr="00E41A80">
        <w:rPr>
          <w:bCs/>
          <w:sz w:val="18"/>
          <w:szCs w:val="18"/>
        </w:rPr>
        <w:t xml:space="preserve">Delivered at the United Nations at Geneva, 21 January 2019 at 9.00am local time and 9.00pm New Zealand time, p </w:t>
      </w:r>
      <w:r>
        <w:rPr>
          <w:bCs/>
          <w:sz w:val="18"/>
          <w:szCs w:val="18"/>
        </w:rPr>
        <w:t>3.</w:t>
      </w:r>
    </w:p>
  </w:endnote>
  <w:endnote w:id="102">
    <w:p w14:paraId="2B942F80" w14:textId="26B7A670" w:rsidR="00B417E2" w:rsidRPr="00714350" w:rsidRDefault="00B417E2" w:rsidP="00AA489C">
      <w:pPr>
        <w:pStyle w:val="EndnoteText"/>
        <w:spacing w:after="120"/>
        <w:rPr>
          <w:sz w:val="18"/>
          <w:szCs w:val="18"/>
          <w:lang w:val="en-US"/>
        </w:rPr>
      </w:pPr>
      <w:r w:rsidRPr="00714350">
        <w:rPr>
          <w:rStyle w:val="EndnoteReference"/>
          <w:sz w:val="18"/>
          <w:szCs w:val="18"/>
        </w:rPr>
        <w:endnoteRef/>
      </w:r>
      <w:r w:rsidRPr="00714350">
        <w:rPr>
          <w:sz w:val="18"/>
          <w:szCs w:val="18"/>
        </w:rPr>
        <w:t xml:space="preserve"> </w:t>
      </w:r>
      <w:r w:rsidRPr="00AF7DAA">
        <w:rPr>
          <w:sz w:val="18"/>
          <w:szCs w:val="18"/>
          <w:lang w:val="en-US"/>
        </w:rPr>
        <w:t>Report of the Working Group on the Universal Periodic Review: New Zealand, A/HRC/41/1/Add.1, 17 June 2019, paragraph 59</w:t>
      </w:r>
      <w:r>
        <w:rPr>
          <w:sz w:val="18"/>
          <w:szCs w:val="18"/>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002283"/>
      <w:docPartObj>
        <w:docPartGallery w:val="Page Numbers (Bottom of Page)"/>
        <w:docPartUnique/>
      </w:docPartObj>
    </w:sdtPr>
    <w:sdtEndPr>
      <w:rPr>
        <w:noProof/>
      </w:rPr>
    </w:sdtEndPr>
    <w:sdtContent>
      <w:p w14:paraId="5F0E6441" w14:textId="2F19420F" w:rsidR="00B417E2" w:rsidRDefault="00B417E2" w:rsidP="00EB262B">
        <w:pPr>
          <w:pStyle w:val="Footer"/>
        </w:pPr>
        <w:r>
          <w:fldChar w:fldCharType="begin"/>
        </w:r>
        <w:r>
          <w:instrText xml:space="preserve"> PAGE   \* MERGEFORMAT </w:instrText>
        </w:r>
        <w:r>
          <w:fldChar w:fldCharType="separate"/>
        </w:r>
        <w:r>
          <w:rPr>
            <w:noProof/>
          </w:rPr>
          <w:t>2</w:t>
        </w:r>
        <w:r>
          <w:rPr>
            <w:noProof/>
          </w:rPr>
          <w:fldChar w:fldCharType="end"/>
        </w:r>
      </w:p>
    </w:sdtContent>
  </w:sdt>
  <w:p w14:paraId="5588F486" w14:textId="7B91708B" w:rsidR="00B417E2" w:rsidRDefault="00B417E2" w:rsidP="00EB2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D7D9A" w14:textId="77777777" w:rsidR="005919BF" w:rsidRDefault="005919BF" w:rsidP="00EB262B">
      <w:r>
        <w:separator/>
      </w:r>
    </w:p>
  </w:footnote>
  <w:footnote w:type="continuationSeparator" w:id="0">
    <w:p w14:paraId="681CBBD4" w14:textId="77777777" w:rsidR="005919BF" w:rsidRDefault="005919BF" w:rsidP="00EB262B">
      <w:r>
        <w:continuationSeparator/>
      </w:r>
    </w:p>
  </w:footnote>
  <w:footnote w:type="continuationNotice" w:id="1">
    <w:p w14:paraId="16ADE295" w14:textId="77777777" w:rsidR="005919BF" w:rsidRDefault="005919BF" w:rsidP="00EB2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B417E2" w14:paraId="33D764F3" w14:textId="77777777" w:rsidTr="0B7A4386">
      <w:tc>
        <w:tcPr>
          <w:tcW w:w="3009" w:type="dxa"/>
        </w:tcPr>
        <w:p w14:paraId="008ABF24" w14:textId="46D2E5EB" w:rsidR="00B417E2" w:rsidRDefault="00B417E2" w:rsidP="00EB262B">
          <w:pPr>
            <w:pStyle w:val="Header"/>
          </w:pPr>
        </w:p>
      </w:tc>
      <w:tc>
        <w:tcPr>
          <w:tcW w:w="3009" w:type="dxa"/>
        </w:tcPr>
        <w:p w14:paraId="5D34561A" w14:textId="3FBE73E9" w:rsidR="00B417E2" w:rsidRDefault="00B417E2" w:rsidP="00EB262B">
          <w:pPr>
            <w:pStyle w:val="Header"/>
          </w:pPr>
        </w:p>
      </w:tc>
      <w:tc>
        <w:tcPr>
          <w:tcW w:w="3009" w:type="dxa"/>
        </w:tcPr>
        <w:p w14:paraId="482B4502" w14:textId="07930173" w:rsidR="00B417E2" w:rsidRDefault="00B417E2" w:rsidP="00EB262B">
          <w:pPr>
            <w:pStyle w:val="Header"/>
          </w:pPr>
        </w:p>
      </w:tc>
    </w:tr>
  </w:tbl>
  <w:p w14:paraId="2297C26B" w14:textId="4CCCAF1C" w:rsidR="00B417E2" w:rsidRDefault="00B417E2" w:rsidP="00EB2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C72"/>
    <w:multiLevelType w:val="hybridMultilevel"/>
    <w:tmpl w:val="4566C5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1507CE1"/>
    <w:multiLevelType w:val="hybridMultilevel"/>
    <w:tmpl w:val="2B0841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0F3987"/>
    <w:multiLevelType w:val="hybridMultilevel"/>
    <w:tmpl w:val="C3D678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9436FD"/>
    <w:multiLevelType w:val="hybridMultilevel"/>
    <w:tmpl w:val="63E609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5D56EFB"/>
    <w:multiLevelType w:val="hybridMultilevel"/>
    <w:tmpl w:val="A1D600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9E66F1A"/>
    <w:multiLevelType w:val="hybridMultilevel"/>
    <w:tmpl w:val="FEB051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B2D6938"/>
    <w:multiLevelType w:val="hybridMultilevel"/>
    <w:tmpl w:val="EE90CBF4"/>
    <w:lvl w:ilvl="0" w:tplc="EA54245C">
      <w:start w:val="1"/>
      <w:numFmt w:val="decimal"/>
      <w:pStyle w:val="Sub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701B6"/>
    <w:multiLevelType w:val="hybridMultilevel"/>
    <w:tmpl w:val="C01A1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E7406F"/>
    <w:multiLevelType w:val="hybridMultilevel"/>
    <w:tmpl w:val="431AA44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1031919"/>
    <w:multiLevelType w:val="hybridMultilevel"/>
    <w:tmpl w:val="368280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5C1E39"/>
    <w:multiLevelType w:val="hybridMultilevel"/>
    <w:tmpl w:val="6E30A6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736A79"/>
    <w:multiLevelType w:val="hybridMultilevel"/>
    <w:tmpl w:val="E594DBA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73A6C2B"/>
    <w:multiLevelType w:val="hybridMultilevel"/>
    <w:tmpl w:val="DFDECA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FE1C9A"/>
    <w:multiLevelType w:val="hybridMultilevel"/>
    <w:tmpl w:val="20F81C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D7320C6"/>
    <w:multiLevelType w:val="hybridMultilevel"/>
    <w:tmpl w:val="70DE52B6"/>
    <w:lvl w:ilvl="0" w:tplc="A7AE2C1A">
      <w:start w:val="26"/>
      <w:numFmt w:val="bullet"/>
      <w:lvlText w:val="-"/>
      <w:lvlJc w:val="left"/>
      <w:pPr>
        <w:ind w:left="720" w:hanging="360"/>
      </w:pPr>
      <w:rPr>
        <w:rFonts w:ascii="Calibri" w:eastAsiaTheme="minorHAnsi" w:hAnsi="Calibri" w:cs="Calibri" w:hint="default"/>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EC5525"/>
    <w:multiLevelType w:val="hybridMultilevel"/>
    <w:tmpl w:val="5BAC6B94"/>
    <w:lvl w:ilvl="0" w:tplc="14090001">
      <w:start w:val="1"/>
      <w:numFmt w:val="bullet"/>
      <w:lvlText w:val=""/>
      <w:lvlJc w:val="left"/>
      <w:pPr>
        <w:ind w:left="720" w:hanging="360"/>
      </w:pPr>
      <w:rPr>
        <w:rFonts w:ascii="Symbol" w:hAnsi="Symbol" w:hint="default"/>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2CF44BC"/>
    <w:multiLevelType w:val="hybridMultilevel"/>
    <w:tmpl w:val="68145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147F12"/>
    <w:multiLevelType w:val="hybridMultilevel"/>
    <w:tmpl w:val="CAB6503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E7408A8"/>
    <w:multiLevelType w:val="hybridMultilevel"/>
    <w:tmpl w:val="4526299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10871C6"/>
    <w:multiLevelType w:val="hybridMultilevel"/>
    <w:tmpl w:val="02EC937C"/>
    <w:lvl w:ilvl="0" w:tplc="769C9B3E">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CBA0949"/>
    <w:multiLevelType w:val="hybridMultilevel"/>
    <w:tmpl w:val="EE90C7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4850EC4"/>
    <w:multiLevelType w:val="hybridMultilevel"/>
    <w:tmpl w:val="4126B062"/>
    <w:lvl w:ilvl="0" w:tplc="A7AE2C1A">
      <w:start w:val="26"/>
      <w:numFmt w:val="bullet"/>
      <w:lvlText w:val="-"/>
      <w:lvlJc w:val="left"/>
      <w:pPr>
        <w:ind w:left="720" w:hanging="360"/>
      </w:pPr>
      <w:rPr>
        <w:rFonts w:ascii="Calibri" w:eastAsiaTheme="minorHAnsi" w:hAnsi="Calibri" w:cs="Calibri" w:hint="default"/>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59A0345"/>
    <w:multiLevelType w:val="hybridMultilevel"/>
    <w:tmpl w:val="EAF2FF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7B67D5C"/>
    <w:multiLevelType w:val="hybridMultilevel"/>
    <w:tmpl w:val="00A4D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8510F5"/>
    <w:multiLevelType w:val="hybridMultilevel"/>
    <w:tmpl w:val="92A0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B01E5"/>
    <w:multiLevelType w:val="hybridMultilevel"/>
    <w:tmpl w:val="023E7626"/>
    <w:lvl w:ilvl="0" w:tplc="4596FF40">
      <w:numFmt w:val="bullet"/>
      <w:lvlText w:val="-"/>
      <w:lvlJc w:val="left"/>
      <w:pPr>
        <w:ind w:left="720" w:hanging="360"/>
      </w:pPr>
      <w:rPr>
        <w:rFonts w:ascii="Arial" w:eastAsia="Times New Roman"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5"/>
  </w:num>
  <w:num w:numId="4">
    <w:abstractNumId w:val="1"/>
  </w:num>
  <w:num w:numId="5">
    <w:abstractNumId w:val="16"/>
  </w:num>
  <w:num w:numId="6">
    <w:abstractNumId w:val="23"/>
  </w:num>
  <w:num w:numId="7">
    <w:abstractNumId w:val="12"/>
  </w:num>
  <w:num w:numId="8">
    <w:abstractNumId w:val="25"/>
  </w:num>
  <w:num w:numId="9">
    <w:abstractNumId w:val="7"/>
  </w:num>
  <w:num w:numId="10">
    <w:abstractNumId w:val="14"/>
  </w:num>
  <w:num w:numId="11">
    <w:abstractNumId w:val="21"/>
  </w:num>
  <w:num w:numId="12">
    <w:abstractNumId w:val="15"/>
  </w:num>
  <w:num w:numId="13">
    <w:abstractNumId w:val="9"/>
  </w:num>
  <w:num w:numId="14">
    <w:abstractNumId w:val="8"/>
  </w:num>
  <w:num w:numId="15">
    <w:abstractNumId w:val="3"/>
  </w:num>
  <w:num w:numId="16">
    <w:abstractNumId w:val="10"/>
  </w:num>
  <w:num w:numId="17">
    <w:abstractNumId w:val="13"/>
  </w:num>
  <w:num w:numId="18">
    <w:abstractNumId w:val="20"/>
  </w:num>
  <w:num w:numId="19">
    <w:abstractNumId w:val="18"/>
  </w:num>
  <w:num w:numId="20">
    <w:abstractNumId w:val="17"/>
  </w:num>
  <w:num w:numId="21">
    <w:abstractNumId w:val="0"/>
  </w:num>
  <w:num w:numId="22">
    <w:abstractNumId w:val="22"/>
  </w:num>
  <w:num w:numId="23">
    <w:abstractNumId w:val="4"/>
  </w:num>
  <w:num w:numId="24">
    <w:abstractNumId w:val="24"/>
  </w:num>
  <w:num w:numId="25">
    <w:abstractNumId w:val="6"/>
  </w:num>
  <w:num w:numId="26">
    <w:abstractNumId w:val="19"/>
  </w:num>
  <w:num w:numId="27">
    <w:abstractNumId w:val="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ocumentProtection w:edit="readOnly" w:enforcement="1"/>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C1"/>
    <w:rsid w:val="00000356"/>
    <w:rsid w:val="00000F4F"/>
    <w:rsid w:val="00000FE8"/>
    <w:rsid w:val="00001011"/>
    <w:rsid w:val="000014A1"/>
    <w:rsid w:val="00001523"/>
    <w:rsid w:val="000016B4"/>
    <w:rsid w:val="00001937"/>
    <w:rsid w:val="00001BCA"/>
    <w:rsid w:val="00001C70"/>
    <w:rsid w:val="00001C76"/>
    <w:rsid w:val="000025A1"/>
    <w:rsid w:val="0000282E"/>
    <w:rsid w:val="00002CD1"/>
    <w:rsid w:val="00003269"/>
    <w:rsid w:val="00003F29"/>
    <w:rsid w:val="00004799"/>
    <w:rsid w:val="0000523D"/>
    <w:rsid w:val="00005848"/>
    <w:rsid w:val="000058C2"/>
    <w:rsid w:val="00005CF7"/>
    <w:rsid w:val="00005EA0"/>
    <w:rsid w:val="00006DBE"/>
    <w:rsid w:val="00007340"/>
    <w:rsid w:val="000073D3"/>
    <w:rsid w:val="0000750F"/>
    <w:rsid w:val="00007E7B"/>
    <w:rsid w:val="00010A5F"/>
    <w:rsid w:val="00010D31"/>
    <w:rsid w:val="00011512"/>
    <w:rsid w:val="00011599"/>
    <w:rsid w:val="00011B43"/>
    <w:rsid w:val="00011B51"/>
    <w:rsid w:val="00011E91"/>
    <w:rsid w:val="00012AF4"/>
    <w:rsid w:val="00012B6E"/>
    <w:rsid w:val="00012C19"/>
    <w:rsid w:val="00013485"/>
    <w:rsid w:val="00013979"/>
    <w:rsid w:val="0001438C"/>
    <w:rsid w:val="000149C6"/>
    <w:rsid w:val="00014AB3"/>
    <w:rsid w:val="00015007"/>
    <w:rsid w:val="000151D5"/>
    <w:rsid w:val="000153B5"/>
    <w:rsid w:val="00016375"/>
    <w:rsid w:val="000165A0"/>
    <w:rsid w:val="00016995"/>
    <w:rsid w:val="000169CA"/>
    <w:rsid w:val="00016F53"/>
    <w:rsid w:val="000206EA"/>
    <w:rsid w:val="00020C92"/>
    <w:rsid w:val="00020CA9"/>
    <w:rsid w:val="000225BA"/>
    <w:rsid w:val="0002278C"/>
    <w:rsid w:val="00022A10"/>
    <w:rsid w:val="00023284"/>
    <w:rsid w:val="00023C41"/>
    <w:rsid w:val="00023FE3"/>
    <w:rsid w:val="000241D8"/>
    <w:rsid w:val="000244A4"/>
    <w:rsid w:val="00024825"/>
    <w:rsid w:val="00025DCB"/>
    <w:rsid w:val="0002613D"/>
    <w:rsid w:val="00026363"/>
    <w:rsid w:val="00026795"/>
    <w:rsid w:val="00026824"/>
    <w:rsid w:val="00026D76"/>
    <w:rsid w:val="00026F10"/>
    <w:rsid w:val="00026F6F"/>
    <w:rsid w:val="000275F9"/>
    <w:rsid w:val="000278A0"/>
    <w:rsid w:val="00027C3A"/>
    <w:rsid w:val="00027D34"/>
    <w:rsid w:val="00027D5A"/>
    <w:rsid w:val="00030C89"/>
    <w:rsid w:val="00031035"/>
    <w:rsid w:val="0003116E"/>
    <w:rsid w:val="00031CE9"/>
    <w:rsid w:val="000322C4"/>
    <w:rsid w:val="00032AB1"/>
    <w:rsid w:val="00032C0A"/>
    <w:rsid w:val="00032C0B"/>
    <w:rsid w:val="00033602"/>
    <w:rsid w:val="00033D6C"/>
    <w:rsid w:val="00033DF4"/>
    <w:rsid w:val="000360ED"/>
    <w:rsid w:val="00036749"/>
    <w:rsid w:val="000375E5"/>
    <w:rsid w:val="00037ADE"/>
    <w:rsid w:val="00040167"/>
    <w:rsid w:val="00040DE6"/>
    <w:rsid w:val="000411B3"/>
    <w:rsid w:val="00041C57"/>
    <w:rsid w:val="00041D6D"/>
    <w:rsid w:val="0004208C"/>
    <w:rsid w:val="000420B4"/>
    <w:rsid w:val="000425BC"/>
    <w:rsid w:val="00042B13"/>
    <w:rsid w:val="00042EF3"/>
    <w:rsid w:val="00043B4E"/>
    <w:rsid w:val="00044364"/>
    <w:rsid w:val="000445E0"/>
    <w:rsid w:val="00044702"/>
    <w:rsid w:val="00046483"/>
    <w:rsid w:val="00046684"/>
    <w:rsid w:val="0004670E"/>
    <w:rsid w:val="00046923"/>
    <w:rsid w:val="00046A5D"/>
    <w:rsid w:val="00046B3D"/>
    <w:rsid w:val="00047367"/>
    <w:rsid w:val="00047C27"/>
    <w:rsid w:val="0005003E"/>
    <w:rsid w:val="000506DA"/>
    <w:rsid w:val="000509A1"/>
    <w:rsid w:val="0005223B"/>
    <w:rsid w:val="00052EFA"/>
    <w:rsid w:val="00053A14"/>
    <w:rsid w:val="00055077"/>
    <w:rsid w:val="00055E20"/>
    <w:rsid w:val="00056021"/>
    <w:rsid w:val="00056052"/>
    <w:rsid w:val="000561EE"/>
    <w:rsid w:val="000563DE"/>
    <w:rsid w:val="00056649"/>
    <w:rsid w:val="000568F6"/>
    <w:rsid w:val="00056EDD"/>
    <w:rsid w:val="0006058E"/>
    <w:rsid w:val="00061188"/>
    <w:rsid w:val="00061753"/>
    <w:rsid w:val="00061A33"/>
    <w:rsid w:val="000620BD"/>
    <w:rsid w:val="00063BB1"/>
    <w:rsid w:val="0006422F"/>
    <w:rsid w:val="00064439"/>
    <w:rsid w:val="000667D3"/>
    <w:rsid w:val="00067108"/>
    <w:rsid w:val="00067B9D"/>
    <w:rsid w:val="000704EA"/>
    <w:rsid w:val="0007075B"/>
    <w:rsid w:val="00070A3F"/>
    <w:rsid w:val="00070B70"/>
    <w:rsid w:val="00070CDA"/>
    <w:rsid w:val="000713CF"/>
    <w:rsid w:val="00072462"/>
    <w:rsid w:val="00072829"/>
    <w:rsid w:val="00072CCF"/>
    <w:rsid w:val="00072E1B"/>
    <w:rsid w:val="00073A10"/>
    <w:rsid w:val="00074071"/>
    <w:rsid w:val="00074169"/>
    <w:rsid w:val="0007441B"/>
    <w:rsid w:val="000745B4"/>
    <w:rsid w:val="000745BA"/>
    <w:rsid w:val="00074BA4"/>
    <w:rsid w:val="000753A0"/>
    <w:rsid w:val="0007544C"/>
    <w:rsid w:val="00075623"/>
    <w:rsid w:val="00075C39"/>
    <w:rsid w:val="00076698"/>
    <w:rsid w:val="000768D1"/>
    <w:rsid w:val="00077DB2"/>
    <w:rsid w:val="00080372"/>
    <w:rsid w:val="00080AF3"/>
    <w:rsid w:val="0008159B"/>
    <w:rsid w:val="000818DB"/>
    <w:rsid w:val="00083799"/>
    <w:rsid w:val="0008388E"/>
    <w:rsid w:val="0008513C"/>
    <w:rsid w:val="0008530C"/>
    <w:rsid w:val="00085F26"/>
    <w:rsid w:val="0008703D"/>
    <w:rsid w:val="000876D7"/>
    <w:rsid w:val="00087F5C"/>
    <w:rsid w:val="00087F8A"/>
    <w:rsid w:val="0009005E"/>
    <w:rsid w:val="000900AF"/>
    <w:rsid w:val="000909AF"/>
    <w:rsid w:val="000909E2"/>
    <w:rsid w:val="00090AF9"/>
    <w:rsid w:val="000912E3"/>
    <w:rsid w:val="0009189E"/>
    <w:rsid w:val="00092527"/>
    <w:rsid w:val="00093C7A"/>
    <w:rsid w:val="00093D73"/>
    <w:rsid w:val="00094E64"/>
    <w:rsid w:val="00095056"/>
    <w:rsid w:val="00095350"/>
    <w:rsid w:val="000957B1"/>
    <w:rsid w:val="00096137"/>
    <w:rsid w:val="0009659F"/>
    <w:rsid w:val="00096D8D"/>
    <w:rsid w:val="00096E12"/>
    <w:rsid w:val="00096EBE"/>
    <w:rsid w:val="00097A8D"/>
    <w:rsid w:val="000A149D"/>
    <w:rsid w:val="000A1A9E"/>
    <w:rsid w:val="000A1BEE"/>
    <w:rsid w:val="000A1E30"/>
    <w:rsid w:val="000A2D54"/>
    <w:rsid w:val="000A2FF9"/>
    <w:rsid w:val="000A324C"/>
    <w:rsid w:val="000A3A0D"/>
    <w:rsid w:val="000A4263"/>
    <w:rsid w:val="000A49C3"/>
    <w:rsid w:val="000A5629"/>
    <w:rsid w:val="000A5C59"/>
    <w:rsid w:val="000A5F3E"/>
    <w:rsid w:val="000A628E"/>
    <w:rsid w:val="000A631A"/>
    <w:rsid w:val="000A6349"/>
    <w:rsid w:val="000A70C4"/>
    <w:rsid w:val="000A7107"/>
    <w:rsid w:val="000A7305"/>
    <w:rsid w:val="000A7C42"/>
    <w:rsid w:val="000A7F7F"/>
    <w:rsid w:val="000B0521"/>
    <w:rsid w:val="000B08A7"/>
    <w:rsid w:val="000B12D0"/>
    <w:rsid w:val="000B20F0"/>
    <w:rsid w:val="000B22A7"/>
    <w:rsid w:val="000B2A69"/>
    <w:rsid w:val="000B34E2"/>
    <w:rsid w:val="000B3CBD"/>
    <w:rsid w:val="000B3DDB"/>
    <w:rsid w:val="000B479D"/>
    <w:rsid w:val="000B4A97"/>
    <w:rsid w:val="000B4CCF"/>
    <w:rsid w:val="000B55B6"/>
    <w:rsid w:val="000B564D"/>
    <w:rsid w:val="000B5759"/>
    <w:rsid w:val="000B6257"/>
    <w:rsid w:val="000B664B"/>
    <w:rsid w:val="000B6AD5"/>
    <w:rsid w:val="000B75F3"/>
    <w:rsid w:val="000C02C6"/>
    <w:rsid w:val="000C0CA3"/>
    <w:rsid w:val="000C0DC0"/>
    <w:rsid w:val="000C1199"/>
    <w:rsid w:val="000C1C25"/>
    <w:rsid w:val="000C233E"/>
    <w:rsid w:val="000C31FA"/>
    <w:rsid w:val="000C32AE"/>
    <w:rsid w:val="000C32D5"/>
    <w:rsid w:val="000C34D4"/>
    <w:rsid w:val="000C395F"/>
    <w:rsid w:val="000C44D1"/>
    <w:rsid w:val="000C4D2F"/>
    <w:rsid w:val="000C51A9"/>
    <w:rsid w:val="000C5AC7"/>
    <w:rsid w:val="000C5F84"/>
    <w:rsid w:val="000C6115"/>
    <w:rsid w:val="000C6668"/>
    <w:rsid w:val="000C6900"/>
    <w:rsid w:val="000C6BFB"/>
    <w:rsid w:val="000D04AE"/>
    <w:rsid w:val="000D0577"/>
    <w:rsid w:val="000D0B18"/>
    <w:rsid w:val="000D0FE8"/>
    <w:rsid w:val="000D1B9E"/>
    <w:rsid w:val="000D1F2C"/>
    <w:rsid w:val="000D2251"/>
    <w:rsid w:val="000D289B"/>
    <w:rsid w:val="000D29AA"/>
    <w:rsid w:val="000D2D2E"/>
    <w:rsid w:val="000D3076"/>
    <w:rsid w:val="000D363F"/>
    <w:rsid w:val="000D3A8D"/>
    <w:rsid w:val="000D4147"/>
    <w:rsid w:val="000D436B"/>
    <w:rsid w:val="000D453B"/>
    <w:rsid w:val="000D5651"/>
    <w:rsid w:val="000D6708"/>
    <w:rsid w:val="000D6CEA"/>
    <w:rsid w:val="000D7127"/>
    <w:rsid w:val="000D7AEE"/>
    <w:rsid w:val="000D7D00"/>
    <w:rsid w:val="000D7EC8"/>
    <w:rsid w:val="000E0BA2"/>
    <w:rsid w:val="000E11E4"/>
    <w:rsid w:val="000E147A"/>
    <w:rsid w:val="000E169A"/>
    <w:rsid w:val="000E1C7E"/>
    <w:rsid w:val="000E3764"/>
    <w:rsid w:val="000E3927"/>
    <w:rsid w:val="000E3C2F"/>
    <w:rsid w:val="000E4547"/>
    <w:rsid w:val="000E48BA"/>
    <w:rsid w:val="000E5298"/>
    <w:rsid w:val="000E571D"/>
    <w:rsid w:val="000E5B33"/>
    <w:rsid w:val="000E5B96"/>
    <w:rsid w:val="000E5BC6"/>
    <w:rsid w:val="000E6813"/>
    <w:rsid w:val="000E6D00"/>
    <w:rsid w:val="000E6E9D"/>
    <w:rsid w:val="000E725D"/>
    <w:rsid w:val="000E7E33"/>
    <w:rsid w:val="000F0398"/>
    <w:rsid w:val="000F072F"/>
    <w:rsid w:val="000F0A88"/>
    <w:rsid w:val="000F0AEA"/>
    <w:rsid w:val="000F0B78"/>
    <w:rsid w:val="000F128E"/>
    <w:rsid w:val="000F12EF"/>
    <w:rsid w:val="000F189B"/>
    <w:rsid w:val="000F18C5"/>
    <w:rsid w:val="000F294B"/>
    <w:rsid w:val="000F36AE"/>
    <w:rsid w:val="000F393F"/>
    <w:rsid w:val="000F3CCB"/>
    <w:rsid w:val="000F48C9"/>
    <w:rsid w:val="000F4EB0"/>
    <w:rsid w:val="000F5059"/>
    <w:rsid w:val="000F537E"/>
    <w:rsid w:val="000F6204"/>
    <w:rsid w:val="000F636E"/>
    <w:rsid w:val="000F68D9"/>
    <w:rsid w:val="000F706D"/>
    <w:rsid w:val="000F719B"/>
    <w:rsid w:val="000F722D"/>
    <w:rsid w:val="000F7DF9"/>
    <w:rsid w:val="001001EC"/>
    <w:rsid w:val="00100A87"/>
    <w:rsid w:val="00100AEF"/>
    <w:rsid w:val="00100DE9"/>
    <w:rsid w:val="00101477"/>
    <w:rsid w:val="00101D68"/>
    <w:rsid w:val="00102194"/>
    <w:rsid w:val="00102A13"/>
    <w:rsid w:val="00102D85"/>
    <w:rsid w:val="00102DB5"/>
    <w:rsid w:val="00102EE7"/>
    <w:rsid w:val="00103079"/>
    <w:rsid w:val="00103560"/>
    <w:rsid w:val="001039A9"/>
    <w:rsid w:val="0010457C"/>
    <w:rsid w:val="001049DC"/>
    <w:rsid w:val="001050D1"/>
    <w:rsid w:val="00105C85"/>
    <w:rsid w:val="00105DD5"/>
    <w:rsid w:val="00106166"/>
    <w:rsid w:val="0010669A"/>
    <w:rsid w:val="0010672D"/>
    <w:rsid w:val="0010734E"/>
    <w:rsid w:val="00107579"/>
    <w:rsid w:val="0010758E"/>
    <w:rsid w:val="00107660"/>
    <w:rsid w:val="00110394"/>
    <w:rsid w:val="001113DB"/>
    <w:rsid w:val="0011142E"/>
    <w:rsid w:val="001115BE"/>
    <w:rsid w:val="00111C97"/>
    <w:rsid w:val="00111E74"/>
    <w:rsid w:val="00112236"/>
    <w:rsid w:val="001125D3"/>
    <w:rsid w:val="00112D84"/>
    <w:rsid w:val="00112EC2"/>
    <w:rsid w:val="0011339F"/>
    <w:rsid w:val="00113801"/>
    <w:rsid w:val="001139DC"/>
    <w:rsid w:val="00113B20"/>
    <w:rsid w:val="00113FE4"/>
    <w:rsid w:val="00114167"/>
    <w:rsid w:val="00115008"/>
    <w:rsid w:val="001158AD"/>
    <w:rsid w:val="00115A43"/>
    <w:rsid w:val="00115C41"/>
    <w:rsid w:val="00115F4B"/>
    <w:rsid w:val="00117E88"/>
    <w:rsid w:val="00120360"/>
    <w:rsid w:val="00120A14"/>
    <w:rsid w:val="00121955"/>
    <w:rsid w:val="00121AF8"/>
    <w:rsid w:val="00122151"/>
    <w:rsid w:val="001221AE"/>
    <w:rsid w:val="001224CA"/>
    <w:rsid w:val="001228FE"/>
    <w:rsid w:val="00122D88"/>
    <w:rsid w:val="00122E8D"/>
    <w:rsid w:val="0012317C"/>
    <w:rsid w:val="00123F47"/>
    <w:rsid w:val="001253D0"/>
    <w:rsid w:val="00125867"/>
    <w:rsid w:val="0012598A"/>
    <w:rsid w:val="00125CB6"/>
    <w:rsid w:val="001268C9"/>
    <w:rsid w:val="00126A31"/>
    <w:rsid w:val="00127208"/>
    <w:rsid w:val="001274C9"/>
    <w:rsid w:val="00130CFB"/>
    <w:rsid w:val="00130DFE"/>
    <w:rsid w:val="001314E2"/>
    <w:rsid w:val="001321CF"/>
    <w:rsid w:val="00132AC1"/>
    <w:rsid w:val="001333A3"/>
    <w:rsid w:val="00134068"/>
    <w:rsid w:val="00134503"/>
    <w:rsid w:val="001353C5"/>
    <w:rsid w:val="0013547B"/>
    <w:rsid w:val="00135D9B"/>
    <w:rsid w:val="001365FE"/>
    <w:rsid w:val="00136B43"/>
    <w:rsid w:val="001372AF"/>
    <w:rsid w:val="00137740"/>
    <w:rsid w:val="00137B75"/>
    <w:rsid w:val="00140C5C"/>
    <w:rsid w:val="00140C7D"/>
    <w:rsid w:val="001416E9"/>
    <w:rsid w:val="00141BDD"/>
    <w:rsid w:val="00141C1B"/>
    <w:rsid w:val="0014226F"/>
    <w:rsid w:val="00142396"/>
    <w:rsid w:val="00142C0D"/>
    <w:rsid w:val="001435FB"/>
    <w:rsid w:val="00143B53"/>
    <w:rsid w:val="00143DE8"/>
    <w:rsid w:val="001455F7"/>
    <w:rsid w:val="00145BAC"/>
    <w:rsid w:val="00145D77"/>
    <w:rsid w:val="00146082"/>
    <w:rsid w:val="00147081"/>
    <w:rsid w:val="0014720A"/>
    <w:rsid w:val="00147AA1"/>
    <w:rsid w:val="00150526"/>
    <w:rsid w:val="00151929"/>
    <w:rsid w:val="00151FAA"/>
    <w:rsid w:val="001527F7"/>
    <w:rsid w:val="00152844"/>
    <w:rsid w:val="00152DBA"/>
    <w:rsid w:val="001538FE"/>
    <w:rsid w:val="00153925"/>
    <w:rsid w:val="00153A48"/>
    <w:rsid w:val="00153DCA"/>
    <w:rsid w:val="001542D7"/>
    <w:rsid w:val="001546F7"/>
    <w:rsid w:val="0015494B"/>
    <w:rsid w:val="00154CCE"/>
    <w:rsid w:val="00154D5F"/>
    <w:rsid w:val="00155286"/>
    <w:rsid w:val="00155665"/>
    <w:rsid w:val="001557B6"/>
    <w:rsid w:val="00155FAA"/>
    <w:rsid w:val="001560A2"/>
    <w:rsid w:val="00156192"/>
    <w:rsid w:val="001566AE"/>
    <w:rsid w:val="00156DB0"/>
    <w:rsid w:val="00157936"/>
    <w:rsid w:val="00157A3D"/>
    <w:rsid w:val="00157AF9"/>
    <w:rsid w:val="00157CDF"/>
    <w:rsid w:val="00157F97"/>
    <w:rsid w:val="00160CFC"/>
    <w:rsid w:val="0016161A"/>
    <w:rsid w:val="00162E4C"/>
    <w:rsid w:val="0016443C"/>
    <w:rsid w:val="001645C3"/>
    <w:rsid w:val="0016474B"/>
    <w:rsid w:val="00164CE5"/>
    <w:rsid w:val="001652D4"/>
    <w:rsid w:val="00165B8A"/>
    <w:rsid w:val="00165F93"/>
    <w:rsid w:val="00166660"/>
    <w:rsid w:val="001667B9"/>
    <w:rsid w:val="00166DDC"/>
    <w:rsid w:val="001670EC"/>
    <w:rsid w:val="0016712A"/>
    <w:rsid w:val="001674E1"/>
    <w:rsid w:val="00167576"/>
    <w:rsid w:val="00167F89"/>
    <w:rsid w:val="00170CC4"/>
    <w:rsid w:val="00170FA0"/>
    <w:rsid w:val="0017104D"/>
    <w:rsid w:val="00172C1D"/>
    <w:rsid w:val="00173DA8"/>
    <w:rsid w:val="0017458E"/>
    <w:rsid w:val="0017459F"/>
    <w:rsid w:val="00174791"/>
    <w:rsid w:val="00174808"/>
    <w:rsid w:val="00174B4A"/>
    <w:rsid w:val="00174F8B"/>
    <w:rsid w:val="001752A9"/>
    <w:rsid w:val="00175675"/>
    <w:rsid w:val="0017583A"/>
    <w:rsid w:val="001759C3"/>
    <w:rsid w:val="00176056"/>
    <w:rsid w:val="001762F9"/>
    <w:rsid w:val="00176A13"/>
    <w:rsid w:val="00176BC8"/>
    <w:rsid w:val="00176D1E"/>
    <w:rsid w:val="00176E6E"/>
    <w:rsid w:val="00180274"/>
    <w:rsid w:val="00180571"/>
    <w:rsid w:val="00180820"/>
    <w:rsid w:val="00180C1B"/>
    <w:rsid w:val="00180F42"/>
    <w:rsid w:val="00180F78"/>
    <w:rsid w:val="00180FAC"/>
    <w:rsid w:val="00181003"/>
    <w:rsid w:val="001818DE"/>
    <w:rsid w:val="00181BFD"/>
    <w:rsid w:val="00181E7E"/>
    <w:rsid w:val="001820E3"/>
    <w:rsid w:val="00182118"/>
    <w:rsid w:val="00182441"/>
    <w:rsid w:val="0018265E"/>
    <w:rsid w:val="0018299F"/>
    <w:rsid w:val="00182DFF"/>
    <w:rsid w:val="00182FA7"/>
    <w:rsid w:val="0018377F"/>
    <w:rsid w:val="00183902"/>
    <w:rsid w:val="001839A3"/>
    <w:rsid w:val="0018449F"/>
    <w:rsid w:val="0018460E"/>
    <w:rsid w:val="00184819"/>
    <w:rsid w:val="001854AB"/>
    <w:rsid w:val="00185AAF"/>
    <w:rsid w:val="00185C10"/>
    <w:rsid w:val="00185CCF"/>
    <w:rsid w:val="00185F31"/>
    <w:rsid w:val="001867B5"/>
    <w:rsid w:val="00186A33"/>
    <w:rsid w:val="00186C94"/>
    <w:rsid w:val="00186EF1"/>
    <w:rsid w:val="00187682"/>
    <w:rsid w:val="00187812"/>
    <w:rsid w:val="00187950"/>
    <w:rsid w:val="00187C41"/>
    <w:rsid w:val="00187CDF"/>
    <w:rsid w:val="00190058"/>
    <w:rsid w:val="00190508"/>
    <w:rsid w:val="001907A2"/>
    <w:rsid w:val="0019080B"/>
    <w:rsid w:val="0019097D"/>
    <w:rsid w:val="00190ADE"/>
    <w:rsid w:val="00190CF6"/>
    <w:rsid w:val="00190DAD"/>
    <w:rsid w:val="0019117D"/>
    <w:rsid w:val="00191C20"/>
    <w:rsid w:val="00192C55"/>
    <w:rsid w:val="00194533"/>
    <w:rsid w:val="00194694"/>
    <w:rsid w:val="001949F6"/>
    <w:rsid w:val="00194C33"/>
    <w:rsid w:val="00194E1A"/>
    <w:rsid w:val="00194F36"/>
    <w:rsid w:val="0019642E"/>
    <w:rsid w:val="001964F0"/>
    <w:rsid w:val="001965A0"/>
    <w:rsid w:val="0019728E"/>
    <w:rsid w:val="001976AC"/>
    <w:rsid w:val="001A0437"/>
    <w:rsid w:val="001A0A45"/>
    <w:rsid w:val="001A0B8C"/>
    <w:rsid w:val="001A0E03"/>
    <w:rsid w:val="001A14B0"/>
    <w:rsid w:val="001A17EB"/>
    <w:rsid w:val="001A2506"/>
    <w:rsid w:val="001A2B0F"/>
    <w:rsid w:val="001A2DA3"/>
    <w:rsid w:val="001A30AA"/>
    <w:rsid w:val="001A332B"/>
    <w:rsid w:val="001A4F0C"/>
    <w:rsid w:val="001A5677"/>
    <w:rsid w:val="001A5A89"/>
    <w:rsid w:val="001A61DB"/>
    <w:rsid w:val="001A6642"/>
    <w:rsid w:val="001A6AD0"/>
    <w:rsid w:val="001A7064"/>
    <w:rsid w:val="001A78D8"/>
    <w:rsid w:val="001A7DD1"/>
    <w:rsid w:val="001B02CE"/>
    <w:rsid w:val="001B0FB5"/>
    <w:rsid w:val="001B12D3"/>
    <w:rsid w:val="001B1BEF"/>
    <w:rsid w:val="001B1E3B"/>
    <w:rsid w:val="001B1F03"/>
    <w:rsid w:val="001B3773"/>
    <w:rsid w:val="001B3886"/>
    <w:rsid w:val="001B41D7"/>
    <w:rsid w:val="001B42E7"/>
    <w:rsid w:val="001B51BD"/>
    <w:rsid w:val="001B5302"/>
    <w:rsid w:val="001B532F"/>
    <w:rsid w:val="001B537C"/>
    <w:rsid w:val="001B57AD"/>
    <w:rsid w:val="001B5F3E"/>
    <w:rsid w:val="001B78E1"/>
    <w:rsid w:val="001B7A35"/>
    <w:rsid w:val="001C0A5E"/>
    <w:rsid w:val="001C12F9"/>
    <w:rsid w:val="001C1621"/>
    <w:rsid w:val="001C3171"/>
    <w:rsid w:val="001C3628"/>
    <w:rsid w:val="001C45F2"/>
    <w:rsid w:val="001C47A1"/>
    <w:rsid w:val="001C4C27"/>
    <w:rsid w:val="001C4CEB"/>
    <w:rsid w:val="001C56EE"/>
    <w:rsid w:val="001C5997"/>
    <w:rsid w:val="001C5FB7"/>
    <w:rsid w:val="001C608E"/>
    <w:rsid w:val="001C6AEE"/>
    <w:rsid w:val="001C7145"/>
    <w:rsid w:val="001C7300"/>
    <w:rsid w:val="001D0813"/>
    <w:rsid w:val="001D09BF"/>
    <w:rsid w:val="001D0B74"/>
    <w:rsid w:val="001D1046"/>
    <w:rsid w:val="001D11EA"/>
    <w:rsid w:val="001D152F"/>
    <w:rsid w:val="001D1955"/>
    <w:rsid w:val="001D1C5E"/>
    <w:rsid w:val="001D1C8B"/>
    <w:rsid w:val="001D2C0A"/>
    <w:rsid w:val="001D34A5"/>
    <w:rsid w:val="001D3862"/>
    <w:rsid w:val="001D38D8"/>
    <w:rsid w:val="001D3ACB"/>
    <w:rsid w:val="001D4D6B"/>
    <w:rsid w:val="001D50B3"/>
    <w:rsid w:val="001D59F1"/>
    <w:rsid w:val="001D5BC5"/>
    <w:rsid w:val="001D5EB0"/>
    <w:rsid w:val="001D6666"/>
    <w:rsid w:val="001D6880"/>
    <w:rsid w:val="001D6D64"/>
    <w:rsid w:val="001D6E6C"/>
    <w:rsid w:val="001D6FAD"/>
    <w:rsid w:val="001D79C9"/>
    <w:rsid w:val="001D7D90"/>
    <w:rsid w:val="001E0097"/>
    <w:rsid w:val="001E0D8A"/>
    <w:rsid w:val="001E0F36"/>
    <w:rsid w:val="001E10D1"/>
    <w:rsid w:val="001E129E"/>
    <w:rsid w:val="001E2499"/>
    <w:rsid w:val="001E2B60"/>
    <w:rsid w:val="001E37A3"/>
    <w:rsid w:val="001E4820"/>
    <w:rsid w:val="001E597F"/>
    <w:rsid w:val="001E59F6"/>
    <w:rsid w:val="001E5ADB"/>
    <w:rsid w:val="001E5DC3"/>
    <w:rsid w:val="001E68BF"/>
    <w:rsid w:val="001E6D9D"/>
    <w:rsid w:val="001E70C1"/>
    <w:rsid w:val="001E71C1"/>
    <w:rsid w:val="001E728E"/>
    <w:rsid w:val="001E7374"/>
    <w:rsid w:val="001E76FC"/>
    <w:rsid w:val="001E788D"/>
    <w:rsid w:val="001E7AE6"/>
    <w:rsid w:val="001F0532"/>
    <w:rsid w:val="001F0C00"/>
    <w:rsid w:val="001F102A"/>
    <w:rsid w:val="001F2CCF"/>
    <w:rsid w:val="001F3882"/>
    <w:rsid w:val="001F3B5F"/>
    <w:rsid w:val="001F3C30"/>
    <w:rsid w:val="001F3CBC"/>
    <w:rsid w:val="001F4005"/>
    <w:rsid w:val="001F4765"/>
    <w:rsid w:val="001F5507"/>
    <w:rsid w:val="001F5AD8"/>
    <w:rsid w:val="001F5B57"/>
    <w:rsid w:val="001F5DD6"/>
    <w:rsid w:val="001F64E9"/>
    <w:rsid w:val="001F7049"/>
    <w:rsid w:val="001F7111"/>
    <w:rsid w:val="001F7D88"/>
    <w:rsid w:val="002003EF"/>
    <w:rsid w:val="002005F2"/>
    <w:rsid w:val="002012BD"/>
    <w:rsid w:val="00201453"/>
    <w:rsid w:val="00201536"/>
    <w:rsid w:val="00201982"/>
    <w:rsid w:val="00201B57"/>
    <w:rsid w:val="00201E65"/>
    <w:rsid w:val="002021E3"/>
    <w:rsid w:val="00202303"/>
    <w:rsid w:val="002023BB"/>
    <w:rsid w:val="00202D15"/>
    <w:rsid w:val="002038EE"/>
    <w:rsid w:val="00203E2D"/>
    <w:rsid w:val="00205B01"/>
    <w:rsid w:val="00205B6F"/>
    <w:rsid w:val="002063CD"/>
    <w:rsid w:val="002066E1"/>
    <w:rsid w:val="00206A02"/>
    <w:rsid w:val="00207627"/>
    <w:rsid w:val="00207A23"/>
    <w:rsid w:val="00207CF4"/>
    <w:rsid w:val="00210229"/>
    <w:rsid w:val="00210303"/>
    <w:rsid w:val="00210A3F"/>
    <w:rsid w:val="0021100C"/>
    <w:rsid w:val="00211092"/>
    <w:rsid w:val="002110A7"/>
    <w:rsid w:val="002112AD"/>
    <w:rsid w:val="00211B0A"/>
    <w:rsid w:val="00211C49"/>
    <w:rsid w:val="002127C3"/>
    <w:rsid w:val="0021297D"/>
    <w:rsid w:val="00212CE1"/>
    <w:rsid w:val="00212DB4"/>
    <w:rsid w:val="002132B3"/>
    <w:rsid w:val="0021340E"/>
    <w:rsid w:val="00214672"/>
    <w:rsid w:val="0021484C"/>
    <w:rsid w:val="00214920"/>
    <w:rsid w:val="0021492F"/>
    <w:rsid w:val="00215A6B"/>
    <w:rsid w:val="00216F7D"/>
    <w:rsid w:val="002170DA"/>
    <w:rsid w:val="00220B58"/>
    <w:rsid w:val="00221002"/>
    <w:rsid w:val="0022157B"/>
    <w:rsid w:val="0022265D"/>
    <w:rsid w:val="00222DB6"/>
    <w:rsid w:val="00222E94"/>
    <w:rsid w:val="00222F0E"/>
    <w:rsid w:val="002231F2"/>
    <w:rsid w:val="00223C58"/>
    <w:rsid w:val="00223C80"/>
    <w:rsid w:val="002245D0"/>
    <w:rsid w:val="002254CC"/>
    <w:rsid w:val="00225832"/>
    <w:rsid w:val="00225A39"/>
    <w:rsid w:val="00225A72"/>
    <w:rsid w:val="00225B41"/>
    <w:rsid w:val="00225DCE"/>
    <w:rsid w:val="00226666"/>
    <w:rsid w:val="002266EB"/>
    <w:rsid w:val="00226751"/>
    <w:rsid w:val="00226CDB"/>
    <w:rsid w:val="00226D83"/>
    <w:rsid w:val="00226DDF"/>
    <w:rsid w:val="00226E96"/>
    <w:rsid w:val="002271AC"/>
    <w:rsid w:val="002271C1"/>
    <w:rsid w:val="00227499"/>
    <w:rsid w:val="00227BAA"/>
    <w:rsid w:val="00230CE7"/>
    <w:rsid w:val="00230F41"/>
    <w:rsid w:val="00230FCD"/>
    <w:rsid w:val="00231711"/>
    <w:rsid w:val="00231B3D"/>
    <w:rsid w:val="00231D83"/>
    <w:rsid w:val="00231DF4"/>
    <w:rsid w:val="00231FF7"/>
    <w:rsid w:val="002320AD"/>
    <w:rsid w:val="00232116"/>
    <w:rsid w:val="00232AB6"/>
    <w:rsid w:val="002331C8"/>
    <w:rsid w:val="00233488"/>
    <w:rsid w:val="00233531"/>
    <w:rsid w:val="00233B70"/>
    <w:rsid w:val="00233FB9"/>
    <w:rsid w:val="00234D44"/>
    <w:rsid w:val="00235366"/>
    <w:rsid w:val="002353BC"/>
    <w:rsid w:val="00235EA3"/>
    <w:rsid w:val="00236305"/>
    <w:rsid w:val="002366B2"/>
    <w:rsid w:val="00236CEF"/>
    <w:rsid w:val="00236FAC"/>
    <w:rsid w:val="00240607"/>
    <w:rsid w:val="0024090B"/>
    <w:rsid w:val="00240A8F"/>
    <w:rsid w:val="00240D70"/>
    <w:rsid w:val="00241AF6"/>
    <w:rsid w:val="0024316C"/>
    <w:rsid w:val="002438D6"/>
    <w:rsid w:val="00243C17"/>
    <w:rsid w:val="00243CA6"/>
    <w:rsid w:val="00243E79"/>
    <w:rsid w:val="002440BD"/>
    <w:rsid w:val="002443D4"/>
    <w:rsid w:val="00244634"/>
    <w:rsid w:val="00244783"/>
    <w:rsid w:val="00244CE5"/>
    <w:rsid w:val="00244D86"/>
    <w:rsid w:val="00244E27"/>
    <w:rsid w:val="00244EA4"/>
    <w:rsid w:val="0024522F"/>
    <w:rsid w:val="00245939"/>
    <w:rsid w:val="002461C4"/>
    <w:rsid w:val="00246617"/>
    <w:rsid w:val="00246A42"/>
    <w:rsid w:val="00246F74"/>
    <w:rsid w:val="00247174"/>
    <w:rsid w:val="0024753F"/>
    <w:rsid w:val="00247FA8"/>
    <w:rsid w:val="00250F3A"/>
    <w:rsid w:val="0025141F"/>
    <w:rsid w:val="002514CB"/>
    <w:rsid w:val="002515C6"/>
    <w:rsid w:val="00251736"/>
    <w:rsid w:val="0025198D"/>
    <w:rsid w:val="0025199E"/>
    <w:rsid w:val="00251B7A"/>
    <w:rsid w:val="002524CC"/>
    <w:rsid w:val="0025297A"/>
    <w:rsid w:val="00252E76"/>
    <w:rsid w:val="00253006"/>
    <w:rsid w:val="002530E1"/>
    <w:rsid w:val="00253662"/>
    <w:rsid w:val="002539DB"/>
    <w:rsid w:val="00253D3A"/>
    <w:rsid w:val="002540F0"/>
    <w:rsid w:val="00254345"/>
    <w:rsid w:val="00254704"/>
    <w:rsid w:val="00254FA6"/>
    <w:rsid w:val="00255596"/>
    <w:rsid w:val="0025598E"/>
    <w:rsid w:val="00255B13"/>
    <w:rsid w:val="00255FC6"/>
    <w:rsid w:val="002563DB"/>
    <w:rsid w:val="00256AE3"/>
    <w:rsid w:val="00257121"/>
    <w:rsid w:val="002578F6"/>
    <w:rsid w:val="00257914"/>
    <w:rsid w:val="00257A3A"/>
    <w:rsid w:val="00261078"/>
    <w:rsid w:val="00261E57"/>
    <w:rsid w:val="0026264D"/>
    <w:rsid w:val="00262A1D"/>
    <w:rsid w:val="0026308E"/>
    <w:rsid w:val="00263300"/>
    <w:rsid w:val="0026393C"/>
    <w:rsid w:val="0026396C"/>
    <w:rsid w:val="00264213"/>
    <w:rsid w:val="00264656"/>
    <w:rsid w:val="00264784"/>
    <w:rsid w:val="00265143"/>
    <w:rsid w:val="00265538"/>
    <w:rsid w:val="00265B74"/>
    <w:rsid w:val="0026638A"/>
    <w:rsid w:val="002669C1"/>
    <w:rsid w:val="00267278"/>
    <w:rsid w:val="002673F6"/>
    <w:rsid w:val="00267546"/>
    <w:rsid w:val="00267CAE"/>
    <w:rsid w:val="002707FA"/>
    <w:rsid w:val="00270A53"/>
    <w:rsid w:val="00270C81"/>
    <w:rsid w:val="00270E63"/>
    <w:rsid w:val="00271389"/>
    <w:rsid w:val="00271A72"/>
    <w:rsid w:val="00272A62"/>
    <w:rsid w:val="00272DA5"/>
    <w:rsid w:val="00272E73"/>
    <w:rsid w:val="00272F85"/>
    <w:rsid w:val="002732AA"/>
    <w:rsid w:val="00273601"/>
    <w:rsid w:val="00273C85"/>
    <w:rsid w:val="00274992"/>
    <w:rsid w:val="00275047"/>
    <w:rsid w:val="00275B21"/>
    <w:rsid w:val="002767D2"/>
    <w:rsid w:val="002771F9"/>
    <w:rsid w:val="0027725D"/>
    <w:rsid w:val="0027747B"/>
    <w:rsid w:val="00277709"/>
    <w:rsid w:val="00277927"/>
    <w:rsid w:val="00277DBC"/>
    <w:rsid w:val="00280645"/>
    <w:rsid w:val="002807E0"/>
    <w:rsid w:val="00280A7C"/>
    <w:rsid w:val="00280C3B"/>
    <w:rsid w:val="00280D31"/>
    <w:rsid w:val="002812A6"/>
    <w:rsid w:val="002812E2"/>
    <w:rsid w:val="00281A8E"/>
    <w:rsid w:val="0028223B"/>
    <w:rsid w:val="002824F6"/>
    <w:rsid w:val="00282701"/>
    <w:rsid w:val="00283998"/>
    <w:rsid w:val="00283A14"/>
    <w:rsid w:val="002844DD"/>
    <w:rsid w:val="00285001"/>
    <w:rsid w:val="002851E2"/>
    <w:rsid w:val="00285559"/>
    <w:rsid w:val="00285E03"/>
    <w:rsid w:val="00285EED"/>
    <w:rsid w:val="00285FA9"/>
    <w:rsid w:val="00286355"/>
    <w:rsid w:val="0028647B"/>
    <w:rsid w:val="002866EA"/>
    <w:rsid w:val="00286716"/>
    <w:rsid w:val="0028678D"/>
    <w:rsid w:val="002868B4"/>
    <w:rsid w:val="00286C83"/>
    <w:rsid w:val="00286E6D"/>
    <w:rsid w:val="00287154"/>
    <w:rsid w:val="00290417"/>
    <w:rsid w:val="00290F65"/>
    <w:rsid w:val="00291041"/>
    <w:rsid w:val="0029220D"/>
    <w:rsid w:val="002923FE"/>
    <w:rsid w:val="00292587"/>
    <w:rsid w:val="002926E8"/>
    <w:rsid w:val="00292BCB"/>
    <w:rsid w:val="00294865"/>
    <w:rsid w:val="00294B76"/>
    <w:rsid w:val="00294DA5"/>
    <w:rsid w:val="00295122"/>
    <w:rsid w:val="002953D0"/>
    <w:rsid w:val="00295995"/>
    <w:rsid w:val="00296001"/>
    <w:rsid w:val="00296165"/>
    <w:rsid w:val="00296BE0"/>
    <w:rsid w:val="002971CD"/>
    <w:rsid w:val="002973D2"/>
    <w:rsid w:val="002A05D9"/>
    <w:rsid w:val="002A076E"/>
    <w:rsid w:val="002A0942"/>
    <w:rsid w:val="002A09E7"/>
    <w:rsid w:val="002A0B2A"/>
    <w:rsid w:val="002A16B8"/>
    <w:rsid w:val="002A1D0C"/>
    <w:rsid w:val="002A1FA3"/>
    <w:rsid w:val="002A2039"/>
    <w:rsid w:val="002A2778"/>
    <w:rsid w:val="002A283E"/>
    <w:rsid w:val="002A3578"/>
    <w:rsid w:val="002A3696"/>
    <w:rsid w:val="002A3A2E"/>
    <w:rsid w:val="002A3CB9"/>
    <w:rsid w:val="002A485A"/>
    <w:rsid w:val="002A58CA"/>
    <w:rsid w:val="002A5FCB"/>
    <w:rsid w:val="002A6632"/>
    <w:rsid w:val="002A690D"/>
    <w:rsid w:val="002A7616"/>
    <w:rsid w:val="002A78A9"/>
    <w:rsid w:val="002B01CF"/>
    <w:rsid w:val="002B02DE"/>
    <w:rsid w:val="002B04E3"/>
    <w:rsid w:val="002B0FCF"/>
    <w:rsid w:val="002B12FD"/>
    <w:rsid w:val="002B136D"/>
    <w:rsid w:val="002B1F15"/>
    <w:rsid w:val="002B200B"/>
    <w:rsid w:val="002B22E8"/>
    <w:rsid w:val="002B23DD"/>
    <w:rsid w:val="002B2AB7"/>
    <w:rsid w:val="002B2CAB"/>
    <w:rsid w:val="002B3AFE"/>
    <w:rsid w:val="002B4570"/>
    <w:rsid w:val="002B462F"/>
    <w:rsid w:val="002B46EE"/>
    <w:rsid w:val="002B491C"/>
    <w:rsid w:val="002B4A90"/>
    <w:rsid w:val="002B50C1"/>
    <w:rsid w:val="002B54C9"/>
    <w:rsid w:val="002B5826"/>
    <w:rsid w:val="002B653C"/>
    <w:rsid w:val="002B6552"/>
    <w:rsid w:val="002B67A8"/>
    <w:rsid w:val="002B7362"/>
    <w:rsid w:val="002B746B"/>
    <w:rsid w:val="002B77F3"/>
    <w:rsid w:val="002B7D62"/>
    <w:rsid w:val="002C055C"/>
    <w:rsid w:val="002C0BC8"/>
    <w:rsid w:val="002C122F"/>
    <w:rsid w:val="002C123C"/>
    <w:rsid w:val="002C22F9"/>
    <w:rsid w:val="002C2D61"/>
    <w:rsid w:val="002C3075"/>
    <w:rsid w:val="002C325A"/>
    <w:rsid w:val="002C3669"/>
    <w:rsid w:val="002C3924"/>
    <w:rsid w:val="002C3957"/>
    <w:rsid w:val="002C3DA1"/>
    <w:rsid w:val="002C4182"/>
    <w:rsid w:val="002C4186"/>
    <w:rsid w:val="002C50ED"/>
    <w:rsid w:val="002C519E"/>
    <w:rsid w:val="002C58C1"/>
    <w:rsid w:val="002C710D"/>
    <w:rsid w:val="002C7500"/>
    <w:rsid w:val="002C7EFE"/>
    <w:rsid w:val="002C7F14"/>
    <w:rsid w:val="002D124A"/>
    <w:rsid w:val="002D12CC"/>
    <w:rsid w:val="002D134B"/>
    <w:rsid w:val="002D2D44"/>
    <w:rsid w:val="002D2F60"/>
    <w:rsid w:val="002D5395"/>
    <w:rsid w:val="002D5599"/>
    <w:rsid w:val="002D5CE0"/>
    <w:rsid w:val="002D5DC5"/>
    <w:rsid w:val="002D6C64"/>
    <w:rsid w:val="002D716B"/>
    <w:rsid w:val="002D7BF5"/>
    <w:rsid w:val="002E0153"/>
    <w:rsid w:val="002E0636"/>
    <w:rsid w:val="002E0B76"/>
    <w:rsid w:val="002E0E9C"/>
    <w:rsid w:val="002E154C"/>
    <w:rsid w:val="002E1BF8"/>
    <w:rsid w:val="002E2134"/>
    <w:rsid w:val="002E269E"/>
    <w:rsid w:val="002E26F5"/>
    <w:rsid w:val="002E2E80"/>
    <w:rsid w:val="002E3008"/>
    <w:rsid w:val="002E3EB0"/>
    <w:rsid w:val="002E4A8E"/>
    <w:rsid w:val="002E5609"/>
    <w:rsid w:val="002E5BF7"/>
    <w:rsid w:val="002E6FDA"/>
    <w:rsid w:val="002F20F9"/>
    <w:rsid w:val="002F2BF0"/>
    <w:rsid w:val="002F31E8"/>
    <w:rsid w:val="002F347C"/>
    <w:rsid w:val="002F4551"/>
    <w:rsid w:val="002F4FC9"/>
    <w:rsid w:val="002F5C22"/>
    <w:rsid w:val="002F6017"/>
    <w:rsid w:val="002F73DA"/>
    <w:rsid w:val="002F75A8"/>
    <w:rsid w:val="00301D4A"/>
    <w:rsid w:val="003026F6"/>
    <w:rsid w:val="0030283F"/>
    <w:rsid w:val="00302947"/>
    <w:rsid w:val="003031A4"/>
    <w:rsid w:val="003041F7"/>
    <w:rsid w:val="00304B33"/>
    <w:rsid w:val="00304BB2"/>
    <w:rsid w:val="00305015"/>
    <w:rsid w:val="00305990"/>
    <w:rsid w:val="00305E69"/>
    <w:rsid w:val="0030603A"/>
    <w:rsid w:val="0030680A"/>
    <w:rsid w:val="003073BF"/>
    <w:rsid w:val="003076FF"/>
    <w:rsid w:val="00307BB5"/>
    <w:rsid w:val="00307CE3"/>
    <w:rsid w:val="003103A5"/>
    <w:rsid w:val="003105E4"/>
    <w:rsid w:val="00310792"/>
    <w:rsid w:val="00310C85"/>
    <w:rsid w:val="00310ECC"/>
    <w:rsid w:val="00310FAF"/>
    <w:rsid w:val="00311106"/>
    <w:rsid w:val="003114E7"/>
    <w:rsid w:val="003114F7"/>
    <w:rsid w:val="0031300E"/>
    <w:rsid w:val="003135EF"/>
    <w:rsid w:val="00314928"/>
    <w:rsid w:val="003149FB"/>
    <w:rsid w:val="003152DF"/>
    <w:rsid w:val="00315593"/>
    <w:rsid w:val="00315B39"/>
    <w:rsid w:val="00315DE5"/>
    <w:rsid w:val="00316109"/>
    <w:rsid w:val="00316F11"/>
    <w:rsid w:val="0031717C"/>
    <w:rsid w:val="0032026C"/>
    <w:rsid w:val="003204F2"/>
    <w:rsid w:val="00320BD0"/>
    <w:rsid w:val="00320C73"/>
    <w:rsid w:val="0032127D"/>
    <w:rsid w:val="00321328"/>
    <w:rsid w:val="003216D8"/>
    <w:rsid w:val="00321F18"/>
    <w:rsid w:val="0032203D"/>
    <w:rsid w:val="003225BD"/>
    <w:rsid w:val="00322A20"/>
    <w:rsid w:val="00323076"/>
    <w:rsid w:val="0032333A"/>
    <w:rsid w:val="00324318"/>
    <w:rsid w:val="003246D6"/>
    <w:rsid w:val="00324C8E"/>
    <w:rsid w:val="00324EB5"/>
    <w:rsid w:val="00325D4E"/>
    <w:rsid w:val="003268FB"/>
    <w:rsid w:val="00326DC4"/>
    <w:rsid w:val="003278E1"/>
    <w:rsid w:val="00330252"/>
    <w:rsid w:val="003302F0"/>
    <w:rsid w:val="00330817"/>
    <w:rsid w:val="003311EB"/>
    <w:rsid w:val="00331638"/>
    <w:rsid w:val="00331B47"/>
    <w:rsid w:val="00331B58"/>
    <w:rsid w:val="00331CF9"/>
    <w:rsid w:val="0033206C"/>
    <w:rsid w:val="003320C3"/>
    <w:rsid w:val="0033266F"/>
    <w:rsid w:val="00333511"/>
    <w:rsid w:val="0033354C"/>
    <w:rsid w:val="00333835"/>
    <w:rsid w:val="00333E59"/>
    <w:rsid w:val="003347E2"/>
    <w:rsid w:val="00334850"/>
    <w:rsid w:val="003353EB"/>
    <w:rsid w:val="00335757"/>
    <w:rsid w:val="00335FFF"/>
    <w:rsid w:val="003361ED"/>
    <w:rsid w:val="0033629C"/>
    <w:rsid w:val="00336788"/>
    <w:rsid w:val="003377F6"/>
    <w:rsid w:val="0033787E"/>
    <w:rsid w:val="00337CFA"/>
    <w:rsid w:val="0034071C"/>
    <w:rsid w:val="00340E23"/>
    <w:rsid w:val="003415F3"/>
    <w:rsid w:val="003418EC"/>
    <w:rsid w:val="00341D8B"/>
    <w:rsid w:val="00341E5E"/>
    <w:rsid w:val="00342056"/>
    <w:rsid w:val="003423AD"/>
    <w:rsid w:val="003428ED"/>
    <w:rsid w:val="00342A77"/>
    <w:rsid w:val="00342B37"/>
    <w:rsid w:val="00342C26"/>
    <w:rsid w:val="00343C1D"/>
    <w:rsid w:val="0034423A"/>
    <w:rsid w:val="00344D12"/>
    <w:rsid w:val="00344F5A"/>
    <w:rsid w:val="00345390"/>
    <w:rsid w:val="00345F99"/>
    <w:rsid w:val="00346164"/>
    <w:rsid w:val="0034640A"/>
    <w:rsid w:val="0034696D"/>
    <w:rsid w:val="00346A3C"/>
    <w:rsid w:val="00346B09"/>
    <w:rsid w:val="00347161"/>
    <w:rsid w:val="003473EA"/>
    <w:rsid w:val="0034764F"/>
    <w:rsid w:val="003478E2"/>
    <w:rsid w:val="003479F4"/>
    <w:rsid w:val="00347D2D"/>
    <w:rsid w:val="0035007C"/>
    <w:rsid w:val="003502D1"/>
    <w:rsid w:val="00350418"/>
    <w:rsid w:val="003512B5"/>
    <w:rsid w:val="00351DBE"/>
    <w:rsid w:val="00352730"/>
    <w:rsid w:val="00352EE7"/>
    <w:rsid w:val="00353823"/>
    <w:rsid w:val="00353CE5"/>
    <w:rsid w:val="003541E5"/>
    <w:rsid w:val="00354444"/>
    <w:rsid w:val="00354688"/>
    <w:rsid w:val="003554A1"/>
    <w:rsid w:val="00355836"/>
    <w:rsid w:val="00355BAA"/>
    <w:rsid w:val="00356477"/>
    <w:rsid w:val="003573A4"/>
    <w:rsid w:val="00360766"/>
    <w:rsid w:val="003609E2"/>
    <w:rsid w:val="00360EA6"/>
    <w:rsid w:val="003626D3"/>
    <w:rsid w:val="00362B68"/>
    <w:rsid w:val="00363177"/>
    <w:rsid w:val="0036382A"/>
    <w:rsid w:val="00363AB5"/>
    <w:rsid w:val="00363BAA"/>
    <w:rsid w:val="00364845"/>
    <w:rsid w:val="00364A3E"/>
    <w:rsid w:val="00364C10"/>
    <w:rsid w:val="00364E11"/>
    <w:rsid w:val="0036529C"/>
    <w:rsid w:val="00365539"/>
    <w:rsid w:val="00365763"/>
    <w:rsid w:val="00365AAF"/>
    <w:rsid w:val="0036609C"/>
    <w:rsid w:val="0036734B"/>
    <w:rsid w:val="00370576"/>
    <w:rsid w:val="0037065B"/>
    <w:rsid w:val="00370BF2"/>
    <w:rsid w:val="0037150B"/>
    <w:rsid w:val="0037155E"/>
    <w:rsid w:val="00371747"/>
    <w:rsid w:val="00371807"/>
    <w:rsid w:val="003733A7"/>
    <w:rsid w:val="00374179"/>
    <w:rsid w:val="00374FA1"/>
    <w:rsid w:val="003751A9"/>
    <w:rsid w:val="00375765"/>
    <w:rsid w:val="00375B81"/>
    <w:rsid w:val="00375CDC"/>
    <w:rsid w:val="00375DEC"/>
    <w:rsid w:val="0037624C"/>
    <w:rsid w:val="003769CF"/>
    <w:rsid w:val="00376A22"/>
    <w:rsid w:val="00376E64"/>
    <w:rsid w:val="003770EC"/>
    <w:rsid w:val="00377581"/>
    <w:rsid w:val="00377693"/>
    <w:rsid w:val="0037787E"/>
    <w:rsid w:val="003778C4"/>
    <w:rsid w:val="00377B53"/>
    <w:rsid w:val="00377E6A"/>
    <w:rsid w:val="003803EB"/>
    <w:rsid w:val="003804CB"/>
    <w:rsid w:val="00380B5E"/>
    <w:rsid w:val="00381234"/>
    <w:rsid w:val="00381FEE"/>
    <w:rsid w:val="003821B3"/>
    <w:rsid w:val="00383628"/>
    <w:rsid w:val="0038422C"/>
    <w:rsid w:val="0038434B"/>
    <w:rsid w:val="00384B08"/>
    <w:rsid w:val="00385346"/>
    <w:rsid w:val="003854A9"/>
    <w:rsid w:val="0038594B"/>
    <w:rsid w:val="00385F9C"/>
    <w:rsid w:val="00386D7E"/>
    <w:rsid w:val="003876BE"/>
    <w:rsid w:val="003877D0"/>
    <w:rsid w:val="00387AF8"/>
    <w:rsid w:val="00387D73"/>
    <w:rsid w:val="00390877"/>
    <w:rsid w:val="003908A5"/>
    <w:rsid w:val="003908D4"/>
    <w:rsid w:val="00390C1D"/>
    <w:rsid w:val="00391C3F"/>
    <w:rsid w:val="0039218E"/>
    <w:rsid w:val="003921A8"/>
    <w:rsid w:val="003923EC"/>
    <w:rsid w:val="00392F2B"/>
    <w:rsid w:val="00393294"/>
    <w:rsid w:val="0039340B"/>
    <w:rsid w:val="00393D5A"/>
    <w:rsid w:val="00394020"/>
    <w:rsid w:val="003942BF"/>
    <w:rsid w:val="00395051"/>
    <w:rsid w:val="00395211"/>
    <w:rsid w:val="00395793"/>
    <w:rsid w:val="003958FF"/>
    <w:rsid w:val="00395CF4"/>
    <w:rsid w:val="00396115"/>
    <w:rsid w:val="00396275"/>
    <w:rsid w:val="003970AD"/>
    <w:rsid w:val="00397232"/>
    <w:rsid w:val="00397DCD"/>
    <w:rsid w:val="003A06A6"/>
    <w:rsid w:val="003A092A"/>
    <w:rsid w:val="003A0BD6"/>
    <w:rsid w:val="003A136C"/>
    <w:rsid w:val="003A159D"/>
    <w:rsid w:val="003A16B7"/>
    <w:rsid w:val="003A199D"/>
    <w:rsid w:val="003A1A23"/>
    <w:rsid w:val="003A2457"/>
    <w:rsid w:val="003A24A8"/>
    <w:rsid w:val="003A2792"/>
    <w:rsid w:val="003A33D3"/>
    <w:rsid w:val="003A3594"/>
    <w:rsid w:val="003A3789"/>
    <w:rsid w:val="003A3A6E"/>
    <w:rsid w:val="003A3CC0"/>
    <w:rsid w:val="003A4553"/>
    <w:rsid w:val="003A4EBE"/>
    <w:rsid w:val="003A55F7"/>
    <w:rsid w:val="003A5BDE"/>
    <w:rsid w:val="003A5CCB"/>
    <w:rsid w:val="003A5E26"/>
    <w:rsid w:val="003A6E93"/>
    <w:rsid w:val="003A7C3B"/>
    <w:rsid w:val="003A7D7F"/>
    <w:rsid w:val="003B008D"/>
    <w:rsid w:val="003B150F"/>
    <w:rsid w:val="003B1579"/>
    <w:rsid w:val="003B15ED"/>
    <w:rsid w:val="003B1F37"/>
    <w:rsid w:val="003B2432"/>
    <w:rsid w:val="003B2EFA"/>
    <w:rsid w:val="003B2FD5"/>
    <w:rsid w:val="003B35F2"/>
    <w:rsid w:val="003B3F3E"/>
    <w:rsid w:val="003B432B"/>
    <w:rsid w:val="003B4568"/>
    <w:rsid w:val="003B4C83"/>
    <w:rsid w:val="003B5532"/>
    <w:rsid w:val="003B557E"/>
    <w:rsid w:val="003B6307"/>
    <w:rsid w:val="003B6B4A"/>
    <w:rsid w:val="003B73FB"/>
    <w:rsid w:val="003C0E6D"/>
    <w:rsid w:val="003C0E86"/>
    <w:rsid w:val="003C11B7"/>
    <w:rsid w:val="003C11B9"/>
    <w:rsid w:val="003C1B6D"/>
    <w:rsid w:val="003C1CBB"/>
    <w:rsid w:val="003C1D5E"/>
    <w:rsid w:val="003C255E"/>
    <w:rsid w:val="003C2794"/>
    <w:rsid w:val="003C2A77"/>
    <w:rsid w:val="003C2BDC"/>
    <w:rsid w:val="003C2C34"/>
    <w:rsid w:val="003C2FD3"/>
    <w:rsid w:val="003C3375"/>
    <w:rsid w:val="003C3839"/>
    <w:rsid w:val="003C3F12"/>
    <w:rsid w:val="003C48FE"/>
    <w:rsid w:val="003C4A56"/>
    <w:rsid w:val="003C4B51"/>
    <w:rsid w:val="003C4F18"/>
    <w:rsid w:val="003C5038"/>
    <w:rsid w:val="003C52C1"/>
    <w:rsid w:val="003C5331"/>
    <w:rsid w:val="003C558B"/>
    <w:rsid w:val="003C575C"/>
    <w:rsid w:val="003C5A0A"/>
    <w:rsid w:val="003C5B9C"/>
    <w:rsid w:val="003C5CBC"/>
    <w:rsid w:val="003C609F"/>
    <w:rsid w:val="003C6216"/>
    <w:rsid w:val="003C7D82"/>
    <w:rsid w:val="003C7EA7"/>
    <w:rsid w:val="003D01C8"/>
    <w:rsid w:val="003D0E6C"/>
    <w:rsid w:val="003D0E86"/>
    <w:rsid w:val="003D10BC"/>
    <w:rsid w:val="003D16E6"/>
    <w:rsid w:val="003D1A56"/>
    <w:rsid w:val="003D3406"/>
    <w:rsid w:val="003D387B"/>
    <w:rsid w:val="003D3999"/>
    <w:rsid w:val="003D3DD5"/>
    <w:rsid w:val="003D4555"/>
    <w:rsid w:val="003D472D"/>
    <w:rsid w:val="003D4C3E"/>
    <w:rsid w:val="003D5491"/>
    <w:rsid w:val="003D5650"/>
    <w:rsid w:val="003D5A16"/>
    <w:rsid w:val="003D629B"/>
    <w:rsid w:val="003D653F"/>
    <w:rsid w:val="003D66A2"/>
    <w:rsid w:val="003D7532"/>
    <w:rsid w:val="003D75E6"/>
    <w:rsid w:val="003D76DE"/>
    <w:rsid w:val="003D7980"/>
    <w:rsid w:val="003E0F2F"/>
    <w:rsid w:val="003E1C16"/>
    <w:rsid w:val="003E1F3C"/>
    <w:rsid w:val="003E2286"/>
    <w:rsid w:val="003E239A"/>
    <w:rsid w:val="003E245F"/>
    <w:rsid w:val="003E302E"/>
    <w:rsid w:val="003E3A11"/>
    <w:rsid w:val="003E3A37"/>
    <w:rsid w:val="003E4A43"/>
    <w:rsid w:val="003E542E"/>
    <w:rsid w:val="003E6EE9"/>
    <w:rsid w:val="003E742E"/>
    <w:rsid w:val="003E75EE"/>
    <w:rsid w:val="003F0320"/>
    <w:rsid w:val="003F0504"/>
    <w:rsid w:val="003F0A79"/>
    <w:rsid w:val="003F0DF8"/>
    <w:rsid w:val="003F12A0"/>
    <w:rsid w:val="003F186C"/>
    <w:rsid w:val="003F1AE7"/>
    <w:rsid w:val="003F1AFC"/>
    <w:rsid w:val="003F1D33"/>
    <w:rsid w:val="003F1F62"/>
    <w:rsid w:val="003F2378"/>
    <w:rsid w:val="003F2E7D"/>
    <w:rsid w:val="003F35CA"/>
    <w:rsid w:val="003F39C4"/>
    <w:rsid w:val="003F4E0E"/>
    <w:rsid w:val="003F5F36"/>
    <w:rsid w:val="003F6165"/>
    <w:rsid w:val="003F64A4"/>
    <w:rsid w:val="003F6C68"/>
    <w:rsid w:val="003F6E56"/>
    <w:rsid w:val="003F72B1"/>
    <w:rsid w:val="003F7623"/>
    <w:rsid w:val="003F7CB1"/>
    <w:rsid w:val="00400660"/>
    <w:rsid w:val="004013C4"/>
    <w:rsid w:val="004013E8"/>
    <w:rsid w:val="00401600"/>
    <w:rsid w:val="00401A0D"/>
    <w:rsid w:val="00401C01"/>
    <w:rsid w:val="004021DF"/>
    <w:rsid w:val="00402521"/>
    <w:rsid w:val="0040278F"/>
    <w:rsid w:val="00402865"/>
    <w:rsid w:val="00402BFD"/>
    <w:rsid w:val="00402C4E"/>
    <w:rsid w:val="00402F7A"/>
    <w:rsid w:val="00402FBD"/>
    <w:rsid w:val="004030E8"/>
    <w:rsid w:val="00403310"/>
    <w:rsid w:val="004035BF"/>
    <w:rsid w:val="00403EDE"/>
    <w:rsid w:val="0040411B"/>
    <w:rsid w:val="004041D6"/>
    <w:rsid w:val="0040425E"/>
    <w:rsid w:val="00404A1E"/>
    <w:rsid w:val="00404A3D"/>
    <w:rsid w:val="00404E62"/>
    <w:rsid w:val="00405117"/>
    <w:rsid w:val="00405119"/>
    <w:rsid w:val="004051E4"/>
    <w:rsid w:val="004053EA"/>
    <w:rsid w:val="0040563F"/>
    <w:rsid w:val="004058F8"/>
    <w:rsid w:val="0040622D"/>
    <w:rsid w:val="00406677"/>
    <w:rsid w:val="00407578"/>
    <w:rsid w:val="00407D63"/>
    <w:rsid w:val="00410410"/>
    <w:rsid w:val="0041042D"/>
    <w:rsid w:val="004112E9"/>
    <w:rsid w:val="00411322"/>
    <w:rsid w:val="00411A48"/>
    <w:rsid w:val="00411CF8"/>
    <w:rsid w:val="0041205A"/>
    <w:rsid w:val="00412255"/>
    <w:rsid w:val="004123AC"/>
    <w:rsid w:val="00412B4C"/>
    <w:rsid w:val="00412F0C"/>
    <w:rsid w:val="00413296"/>
    <w:rsid w:val="00413E5F"/>
    <w:rsid w:val="004142B5"/>
    <w:rsid w:val="004143E2"/>
    <w:rsid w:val="00414EB4"/>
    <w:rsid w:val="00415160"/>
    <w:rsid w:val="0041579A"/>
    <w:rsid w:val="00415AF3"/>
    <w:rsid w:val="00415B65"/>
    <w:rsid w:val="0041645E"/>
    <w:rsid w:val="00417C69"/>
    <w:rsid w:val="00420671"/>
    <w:rsid w:val="00420F0C"/>
    <w:rsid w:val="00421169"/>
    <w:rsid w:val="004213AA"/>
    <w:rsid w:val="00421B0E"/>
    <w:rsid w:val="004227D1"/>
    <w:rsid w:val="004230B5"/>
    <w:rsid w:val="00423B06"/>
    <w:rsid w:val="00423CCC"/>
    <w:rsid w:val="004241EF"/>
    <w:rsid w:val="004245D1"/>
    <w:rsid w:val="00424991"/>
    <w:rsid w:val="00424B02"/>
    <w:rsid w:val="00424B1F"/>
    <w:rsid w:val="00424D65"/>
    <w:rsid w:val="004250A4"/>
    <w:rsid w:val="004251F4"/>
    <w:rsid w:val="00425391"/>
    <w:rsid w:val="00425B80"/>
    <w:rsid w:val="00425BC5"/>
    <w:rsid w:val="004267EA"/>
    <w:rsid w:val="0042700B"/>
    <w:rsid w:val="004271D4"/>
    <w:rsid w:val="004278B3"/>
    <w:rsid w:val="0042792E"/>
    <w:rsid w:val="00427E81"/>
    <w:rsid w:val="00430292"/>
    <w:rsid w:val="004302A4"/>
    <w:rsid w:val="00430BAA"/>
    <w:rsid w:val="00431266"/>
    <w:rsid w:val="00431481"/>
    <w:rsid w:val="004314CA"/>
    <w:rsid w:val="00431540"/>
    <w:rsid w:val="004315D4"/>
    <w:rsid w:val="00432879"/>
    <w:rsid w:val="00432B49"/>
    <w:rsid w:val="00432D4B"/>
    <w:rsid w:val="00432E76"/>
    <w:rsid w:val="00432F3E"/>
    <w:rsid w:val="00433D4F"/>
    <w:rsid w:val="00434AC2"/>
    <w:rsid w:val="0043610E"/>
    <w:rsid w:val="004362DC"/>
    <w:rsid w:val="004362E9"/>
    <w:rsid w:val="0043657E"/>
    <w:rsid w:val="00436ACF"/>
    <w:rsid w:val="00436C76"/>
    <w:rsid w:val="00436F94"/>
    <w:rsid w:val="004378CF"/>
    <w:rsid w:val="00437BD9"/>
    <w:rsid w:val="00437D89"/>
    <w:rsid w:val="0044009B"/>
    <w:rsid w:val="00440A8E"/>
    <w:rsid w:val="00440DF5"/>
    <w:rsid w:val="00441C76"/>
    <w:rsid w:val="00441D53"/>
    <w:rsid w:val="004424E3"/>
    <w:rsid w:val="004428F7"/>
    <w:rsid w:val="00442C12"/>
    <w:rsid w:val="00442EB3"/>
    <w:rsid w:val="004438F0"/>
    <w:rsid w:val="004443BF"/>
    <w:rsid w:val="00444AEC"/>
    <w:rsid w:val="004465D7"/>
    <w:rsid w:val="00446FC1"/>
    <w:rsid w:val="00447B72"/>
    <w:rsid w:val="00450495"/>
    <w:rsid w:val="00450939"/>
    <w:rsid w:val="0045152D"/>
    <w:rsid w:val="00451850"/>
    <w:rsid w:val="00451EAA"/>
    <w:rsid w:val="004524C5"/>
    <w:rsid w:val="00453529"/>
    <w:rsid w:val="00453734"/>
    <w:rsid w:val="00453ACE"/>
    <w:rsid w:val="00453C71"/>
    <w:rsid w:val="00453EB3"/>
    <w:rsid w:val="00454188"/>
    <w:rsid w:val="0045493B"/>
    <w:rsid w:val="00454C7D"/>
    <w:rsid w:val="00455147"/>
    <w:rsid w:val="00455378"/>
    <w:rsid w:val="004553B3"/>
    <w:rsid w:val="00455C45"/>
    <w:rsid w:val="00455FB6"/>
    <w:rsid w:val="00456084"/>
    <w:rsid w:val="00456650"/>
    <w:rsid w:val="0045695C"/>
    <w:rsid w:val="00456B40"/>
    <w:rsid w:val="00456E42"/>
    <w:rsid w:val="00457D40"/>
    <w:rsid w:val="004600D1"/>
    <w:rsid w:val="00460A65"/>
    <w:rsid w:val="00460F5B"/>
    <w:rsid w:val="0046133B"/>
    <w:rsid w:val="00461B1C"/>
    <w:rsid w:val="00461E13"/>
    <w:rsid w:val="0046251B"/>
    <w:rsid w:val="00463221"/>
    <w:rsid w:val="004634E2"/>
    <w:rsid w:val="00464695"/>
    <w:rsid w:val="004647D7"/>
    <w:rsid w:val="00464AC3"/>
    <w:rsid w:val="004659C2"/>
    <w:rsid w:val="00465C18"/>
    <w:rsid w:val="00465F22"/>
    <w:rsid w:val="004672FB"/>
    <w:rsid w:val="004677AC"/>
    <w:rsid w:val="00467C90"/>
    <w:rsid w:val="00467F0B"/>
    <w:rsid w:val="00470126"/>
    <w:rsid w:val="00470274"/>
    <w:rsid w:val="004707D1"/>
    <w:rsid w:val="004709D8"/>
    <w:rsid w:val="00470AC7"/>
    <w:rsid w:val="004722A3"/>
    <w:rsid w:val="004727B2"/>
    <w:rsid w:val="00472D34"/>
    <w:rsid w:val="00473029"/>
    <w:rsid w:val="00473809"/>
    <w:rsid w:val="004746F9"/>
    <w:rsid w:val="00474C69"/>
    <w:rsid w:val="00474E19"/>
    <w:rsid w:val="00475114"/>
    <w:rsid w:val="004751A6"/>
    <w:rsid w:val="004751DF"/>
    <w:rsid w:val="00475B0F"/>
    <w:rsid w:val="00476685"/>
    <w:rsid w:val="00476E51"/>
    <w:rsid w:val="0047749C"/>
    <w:rsid w:val="00477582"/>
    <w:rsid w:val="00477C9A"/>
    <w:rsid w:val="00477DF6"/>
    <w:rsid w:val="004800D8"/>
    <w:rsid w:val="0048098F"/>
    <w:rsid w:val="00480EDB"/>
    <w:rsid w:val="00481595"/>
    <w:rsid w:val="00481A5E"/>
    <w:rsid w:val="00482605"/>
    <w:rsid w:val="00482856"/>
    <w:rsid w:val="00482C82"/>
    <w:rsid w:val="00482E4A"/>
    <w:rsid w:val="004834D7"/>
    <w:rsid w:val="00483A9D"/>
    <w:rsid w:val="0048483A"/>
    <w:rsid w:val="00484B4D"/>
    <w:rsid w:val="00484E59"/>
    <w:rsid w:val="00485030"/>
    <w:rsid w:val="00485094"/>
    <w:rsid w:val="0048549E"/>
    <w:rsid w:val="0048574D"/>
    <w:rsid w:val="00485967"/>
    <w:rsid w:val="00485E38"/>
    <w:rsid w:val="00486BEE"/>
    <w:rsid w:val="00486E7D"/>
    <w:rsid w:val="00487CDC"/>
    <w:rsid w:val="004900CE"/>
    <w:rsid w:val="004906C3"/>
    <w:rsid w:val="00490AAC"/>
    <w:rsid w:val="00490BA9"/>
    <w:rsid w:val="00491104"/>
    <w:rsid w:val="00491EE8"/>
    <w:rsid w:val="00492ECB"/>
    <w:rsid w:val="00493063"/>
    <w:rsid w:val="004933B1"/>
    <w:rsid w:val="0049376A"/>
    <w:rsid w:val="0049386F"/>
    <w:rsid w:val="00493AF8"/>
    <w:rsid w:val="00493B5C"/>
    <w:rsid w:val="0049466A"/>
    <w:rsid w:val="004948B5"/>
    <w:rsid w:val="00494CFD"/>
    <w:rsid w:val="00495571"/>
    <w:rsid w:val="00495D71"/>
    <w:rsid w:val="00496094"/>
    <w:rsid w:val="00496108"/>
    <w:rsid w:val="00496821"/>
    <w:rsid w:val="00496B66"/>
    <w:rsid w:val="00497F72"/>
    <w:rsid w:val="004A06CB"/>
    <w:rsid w:val="004A1E74"/>
    <w:rsid w:val="004A1FAD"/>
    <w:rsid w:val="004A2376"/>
    <w:rsid w:val="004A2C29"/>
    <w:rsid w:val="004A2C9F"/>
    <w:rsid w:val="004A2FE0"/>
    <w:rsid w:val="004A3241"/>
    <w:rsid w:val="004A34E6"/>
    <w:rsid w:val="004A3A69"/>
    <w:rsid w:val="004A3CE4"/>
    <w:rsid w:val="004A3FF9"/>
    <w:rsid w:val="004A5041"/>
    <w:rsid w:val="004A5161"/>
    <w:rsid w:val="004A5524"/>
    <w:rsid w:val="004A5697"/>
    <w:rsid w:val="004A5793"/>
    <w:rsid w:val="004A59D4"/>
    <w:rsid w:val="004A5BE8"/>
    <w:rsid w:val="004A75F6"/>
    <w:rsid w:val="004A7697"/>
    <w:rsid w:val="004A7740"/>
    <w:rsid w:val="004A7B5C"/>
    <w:rsid w:val="004A7D95"/>
    <w:rsid w:val="004B00B2"/>
    <w:rsid w:val="004B00ED"/>
    <w:rsid w:val="004B02F7"/>
    <w:rsid w:val="004B0B41"/>
    <w:rsid w:val="004B12C5"/>
    <w:rsid w:val="004B137D"/>
    <w:rsid w:val="004B1B5F"/>
    <w:rsid w:val="004B1BE2"/>
    <w:rsid w:val="004B2B05"/>
    <w:rsid w:val="004B2B27"/>
    <w:rsid w:val="004B2F52"/>
    <w:rsid w:val="004B3331"/>
    <w:rsid w:val="004B3358"/>
    <w:rsid w:val="004B33E8"/>
    <w:rsid w:val="004B3666"/>
    <w:rsid w:val="004B48FF"/>
    <w:rsid w:val="004B50F6"/>
    <w:rsid w:val="004B5ABD"/>
    <w:rsid w:val="004B5E0E"/>
    <w:rsid w:val="004B6413"/>
    <w:rsid w:val="004B6780"/>
    <w:rsid w:val="004B67EF"/>
    <w:rsid w:val="004B6D29"/>
    <w:rsid w:val="004B72A0"/>
    <w:rsid w:val="004B72B6"/>
    <w:rsid w:val="004B7E93"/>
    <w:rsid w:val="004C0342"/>
    <w:rsid w:val="004C0A8C"/>
    <w:rsid w:val="004C0E4E"/>
    <w:rsid w:val="004C0F58"/>
    <w:rsid w:val="004C15BB"/>
    <w:rsid w:val="004C173F"/>
    <w:rsid w:val="004C1F86"/>
    <w:rsid w:val="004C2597"/>
    <w:rsid w:val="004C2FC7"/>
    <w:rsid w:val="004C2FD6"/>
    <w:rsid w:val="004C32EC"/>
    <w:rsid w:val="004C32ED"/>
    <w:rsid w:val="004C36A4"/>
    <w:rsid w:val="004C3C1D"/>
    <w:rsid w:val="004C440F"/>
    <w:rsid w:val="004C4DDB"/>
    <w:rsid w:val="004C5501"/>
    <w:rsid w:val="004C62C0"/>
    <w:rsid w:val="004C6307"/>
    <w:rsid w:val="004C63AC"/>
    <w:rsid w:val="004C6799"/>
    <w:rsid w:val="004C6921"/>
    <w:rsid w:val="004C6E31"/>
    <w:rsid w:val="004C6EFC"/>
    <w:rsid w:val="004C7BA9"/>
    <w:rsid w:val="004D056D"/>
    <w:rsid w:val="004D06F7"/>
    <w:rsid w:val="004D0ADE"/>
    <w:rsid w:val="004D0B6A"/>
    <w:rsid w:val="004D1176"/>
    <w:rsid w:val="004D19B8"/>
    <w:rsid w:val="004D1DF2"/>
    <w:rsid w:val="004D2444"/>
    <w:rsid w:val="004D2F3D"/>
    <w:rsid w:val="004D35C3"/>
    <w:rsid w:val="004D3852"/>
    <w:rsid w:val="004D428E"/>
    <w:rsid w:val="004D495F"/>
    <w:rsid w:val="004D5320"/>
    <w:rsid w:val="004D54F4"/>
    <w:rsid w:val="004D564E"/>
    <w:rsid w:val="004D59CF"/>
    <w:rsid w:val="004D5AB6"/>
    <w:rsid w:val="004D6100"/>
    <w:rsid w:val="004D64C1"/>
    <w:rsid w:val="004D65A6"/>
    <w:rsid w:val="004D6677"/>
    <w:rsid w:val="004D69FB"/>
    <w:rsid w:val="004D6B6A"/>
    <w:rsid w:val="004D6E02"/>
    <w:rsid w:val="004D7493"/>
    <w:rsid w:val="004D7504"/>
    <w:rsid w:val="004D7F1C"/>
    <w:rsid w:val="004E046A"/>
    <w:rsid w:val="004E0DDE"/>
    <w:rsid w:val="004E14BB"/>
    <w:rsid w:val="004E174D"/>
    <w:rsid w:val="004E20CE"/>
    <w:rsid w:val="004E21C8"/>
    <w:rsid w:val="004E2AE4"/>
    <w:rsid w:val="004E2B8C"/>
    <w:rsid w:val="004E3153"/>
    <w:rsid w:val="004E36A8"/>
    <w:rsid w:val="004E435B"/>
    <w:rsid w:val="004E43CC"/>
    <w:rsid w:val="004E5319"/>
    <w:rsid w:val="004E54E7"/>
    <w:rsid w:val="004E580F"/>
    <w:rsid w:val="004E582E"/>
    <w:rsid w:val="004E6230"/>
    <w:rsid w:val="004E6596"/>
    <w:rsid w:val="004E67C2"/>
    <w:rsid w:val="004E697C"/>
    <w:rsid w:val="004E7526"/>
    <w:rsid w:val="004E7FA2"/>
    <w:rsid w:val="004F02D8"/>
    <w:rsid w:val="004F0B69"/>
    <w:rsid w:val="004F0CC7"/>
    <w:rsid w:val="004F237C"/>
    <w:rsid w:val="004F2DCA"/>
    <w:rsid w:val="004F3799"/>
    <w:rsid w:val="004F37E4"/>
    <w:rsid w:val="004F381B"/>
    <w:rsid w:val="004F38E5"/>
    <w:rsid w:val="004F3C1F"/>
    <w:rsid w:val="004F4909"/>
    <w:rsid w:val="004F5FEF"/>
    <w:rsid w:val="004F606F"/>
    <w:rsid w:val="004F66D4"/>
    <w:rsid w:val="004F6709"/>
    <w:rsid w:val="004F6AE4"/>
    <w:rsid w:val="004F6B16"/>
    <w:rsid w:val="004F6E20"/>
    <w:rsid w:val="004F74B4"/>
    <w:rsid w:val="004F76BA"/>
    <w:rsid w:val="004F786F"/>
    <w:rsid w:val="005003D9"/>
    <w:rsid w:val="00500570"/>
    <w:rsid w:val="00500626"/>
    <w:rsid w:val="00500F98"/>
    <w:rsid w:val="005031C1"/>
    <w:rsid w:val="00503854"/>
    <w:rsid w:val="00503C0D"/>
    <w:rsid w:val="00503C47"/>
    <w:rsid w:val="00504649"/>
    <w:rsid w:val="0050478C"/>
    <w:rsid w:val="00504E91"/>
    <w:rsid w:val="00505017"/>
    <w:rsid w:val="00505499"/>
    <w:rsid w:val="005066F5"/>
    <w:rsid w:val="005067C2"/>
    <w:rsid w:val="005067DB"/>
    <w:rsid w:val="005069B4"/>
    <w:rsid w:val="00506D60"/>
    <w:rsid w:val="00507038"/>
    <w:rsid w:val="005070E6"/>
    <w:rsid w:val="00507A2E"/>
    <w:rsid w:val="00507A74"/>
    <w:rsid w:val="005100B6"/>
    <w:rsid w:val="00510804"/>
    <w:rsid w:val="005112D3"/>
    <w:rsid w:val="005120A4"/>
    <w:rsid w:val="005128C9"/>
    <w:rsid w:val="0051295C"/>
    <w:rsid w:val="00512E77"/>
    <w:rsid w:val="00513952"/>
    <w:rsid w:val="0051469A"/>
    <w:rsid w:val="00514B79"/>
    <w:rsid w:val="005151F0"/>
    <w:rsid w:val="005153C3"/>
    <w:rsid w:val="00515512"/>
    <w:rsid w:val="0051551B"/>
    <w:rsid w:val="00515E1C"/>
    <w:rsid w:val="00516334"/>
    <w:rsid w:val="00516482"/>
    <w:rsid w:val="00516AE5"/>
    <w:rsid w:val="00516C87"/>
    <w:rsid w:val="00517B87"/>
    <w:rsid w:val="00517C00"/>
    <w:rsid w:val="00520996"/>
    <w:rsid w:val="00520DA0"/>
    <w:rsid w:val="00520F65"/>
    <w:rsid w:val="0052128B"/>
    <w:rsid w:val="0052170B"/>
    <w:rsid w:val="00521D64"/>
    <w:rsid w:val="005229D7"/>
    <w:rsid w:val="00522D87"/>
    <w:rsid w:val="00523362"/>
    <w:rsid w:val="0052398F"/>
    <w:rsid w:val="00523B54"/>
    <w:rsid w:val="0052543C"/>
    <w:rsid w:val="00525B39"/>
    <w:rsid w:val="00525C54"/>
    <w:rsid w:val="00525D81"/>
    <w:rsid w:val="005261A2"/>
    <w:rsid w:val="00526CF3"/>
    <w:rsid w:val="00526DF0"/>
    <w:rsid w:val="00527ADF"/>
    <w:rsid w:val="005300BC"/>
    <w:rsid w:val="00530392"/>
    <w:rsid w:val="00530AAA"/>
    <w:rsid w:val="00530AF4"/>
    <w:rsid w:val="00531148"/>
    <w:rsid w:val="00531B34"/>
    <w:rsid w:val="00532874"/>
    <w:rsid w:val="00533A96"/>
    <w:rsid w:val="00533E9A"/>
    <w:rsid w:val="00534481"/>
    <w:rsid w:val="00534BCB"/>
    <w:rsid w:val="00534D9D"/>
    <w:rsid w:val="00534E47"/>
    <w:rsid w:val="0053517E"/>
    <w:rsid w:val="005355D4"/>
    <w:rsid w:val="00535627"/>
    <w:rsid w:val="00535BE0"/>
    <w:rsid w:val="00536418"/>
    <w:rsid w:val="00536786"/>
    <w:rsid w:val="005367A8"/>
    <w:rsid w:val="00536ACC"/>
    <w:rsid w:val="00536D8C"/>
    <w:rsid w:val="00536E0F"/>
    <w:rsid w:val="00536EBA"/>
    <w:rsid w:val="00540E23"/>
    <w:rsid w:val="00540E40"/>
    <w:rsid w:val="00540EFD"/>
    <w:rsid w:val="00541167"/>
    <w:rsid w:val="00541AEA"/>
    <w:rsid w:val="00541D27"/>
    <w:rsid w:val="00541D4D"/>
    <w:rsid w:val="00541E4B"/>
    <w:rsid w:val="00541FCE"/>
    <w:rsid w:val="00542238"/>
    <w:rsid w:val="00542278"/>
    <w:rsid w:val="0054264E"/>
    <w:rsid w:val="00542679"/>
    <w:rsid w:val="0054268E"/>
    <w:rsid w:val="00542D37"/>
    <w:rsid w:val="00543810"/>
    <w:rsid w:val="00543960"/>
    <w:rsid w:val="00543BDF"/>
    <w:rsid w:val="00543C92"/>
    <w:rsid w:val="00543E76"/>
    <w:rsid w:val="00544020"/>
    <w:rsid w:val="00544148"/>
    <w:rsid w:val="00544245"/>
    <w:rsid w:val="00544517"/>
    <w:rsid w:val="0054483A"/>
    <w:rsid w:val="005448EF"/>
    <w:rsid w:val="00544C6D"/>
    <w:rsid w:val="00545502"/>
    <w:rsid w:val="0054634F"/>
    <w:rsid w:val="00546F1D"/>
    <w:rsid w:val="00547451"/>
    <w:rsid w:val="00547F17"/>
    <w:rsid w:val="00550126"/>
    <w:rsid w:val="00550DDC"/>
    <w:rsid w:val="00551177"/>
    <w:rsid w:val="00551567"/>
    <w:rsid w:val="00551667"/>
    <w:rsid w:val="005517F1"/>
    <w:rsid w:val="0055186C"/>
    <w:rsid w:val="0055190B"/>
    <w:rsid w:val="00551C0D"/>
    <w:rsid w:val="00552315"/>
    <w:rsid w:val="00553459"/>
    <w:rsid w:val="00553F4B"/>
    <w:rsid w:val="00554013"/>
    <w:rsid w:val="00554B5C"/>
    <w:rsid w:val="00554CCA"/>
    <w:rsid w:val="00554EEE"/>
    <w:rsid w:val="00555527"/>
    <w:rsid w:val="00555574"/>
    <w:rsid w:val="00556693"/>
    <w:rsid w:val="0055687A"/>
    <w:rsid w:val="00556DC9"/>
    <w:rsid w:val="0055704D"/>
    <w:rsid w:val="005574DA"/>
    <w:rsid w:val="00557A4C"/>
    <w:rsid w:val="00557D47"/>
    <w:rsid w:val="00557F12"/>
    <w:rsid w:val="005600DB"/>
    <w:rsid w:val="0056068A"/>
    <w:rsid w:val="00560AF0"/>
    <w:rsid w:val="00560CCB"/>
    <w:rsid w:val="00561304"/>
    <w:rsid w:val="005618EF"/>
    <w:rsid w:val="0056210E"/>
    <w:rsid w:val="00562A63"/>
    <w:rsid w:val="00562E59"/>
    <w:rsid w:val="0056359B"/>
    <w:rsid w:val="005638D1"/>
    <w:rsid w:val="00563FD7"/>
    <w:rsid w:val="00564BDA"/>
    <w:rsid w:val="00564D6B"/>
    <w:rsid w:val="00565D16"/>
    <w:rsid w:val="00565DF7"/>
    <w:rsid w:val="00566970"/>
    <w:rsid w:val="00567269"/>
    <w:rsid w:val="005673E3"/>
    <w:rsid w:val="00567E6D"/>
    <w:rsid w:val="0057159F"/>
    <w:rsid w:val="00571600"/>
    <w:rsid w:val="00571848"/>
    <w:rsid w:val="00571E0E"/>
    <w:rsid w:val="00572279"/>
    <w:rsid w:val="005727F1"/>
    <w:rsid w:val="00572BFB"/>
    <w:rsid w:val="005738D0"/>
    <w:rsid w:val="00573A37"/>
    <w:rsid w:val="00573A9F"/>
    <w:rsid w:val="005741B9"/>
    <w:rsid w:val="005745EF"/>
    <w:rsid w:val="00574903"/>
    <w:rsid w:val="00574A7F"/>
    <w:rsid w:val="005753A6"/>
    <w:rsid w:val="005754FB"/>
    <w:rsid w:val="005756D6"/>
    <w:rsid w:val="005764B8"/>
    <w:rsid w:val="00576CD0"/>
    <w:rsid w:val="005770BB"/>
    <w:rsid w:val="005773E3"/>
    <w:rsid w:val="00577AC7"/>
    <w:rsid w:val="00577BB1"/>
    <w:rsid w:val="00577E11"/>
    <w:rsid w:val="005802B6"/>
    <w:rsid w:val="005803B6"/>
    <w:rsid w:val="00580697"/>
    <w:rsid w:val="005806D4"/>
    <w:rsid w:val="0058078A"/>
    <w:rsid w:val="0058126A"/>
    <w:rsid w:val="0058131D"/>
    <w:rsid w:val="005814B3"/>
    <w:rsid w:val="00581585"/>
    <w:rsid w:val="005818BA"/>
    <w:rsid w:val="00581D7B"/>
    <w:rsid w:val="00582282"/>
    <w:rsid w:val="00582407"/>
    <w:rsid w:val="005824C2"/>
    <w:rsid w:val="00582914"/>
    <w:rsid w:val="005838D3"/>
    <w:rsid w:val="00583C8E"/>
    <w:rsid w:val="00584E0B"/>
    <w:rsid w:val="00585101"/>
    <w:rsid w:val="00585158"/>
    <w:rsid w:val="00585AD2"/>
    <w:rsid w:val="00585B90"/>
    <w:rsid w:val="00585E97"/>
    <w:rsid w:val="00586034"/>
    <w:rsid w:val="0058618F"/>
    <w:rsid w:val="005862CA"/>
    <w:rsid w:val="00586CA4"/>
    <w:rsid w:val="00586D41"/>
    <w:rsid w:val="005871D7"/>
    <w:rsid w:val="0059023B"/>
    <w:rsid w:val="00590337"/>
    <w:rsid w:val="005911E5"/>
    <w:rsid w:val="005914F7"/>
    <w:rsid w:val="0059154A"/>
    <w:rsid w:val="005919BF"/>
    <w:rsid w:val="0059260D"/>
    <w:rsid w:val="0059345B"/>
    <w:rsid w:val="005935A6"/>
    <w:rsid w:val="0059373D"/>
    <w:rsid w:val="00593BDF"/>
    <w:rsid w:val="00594920"/>
    <w:rsid w:val="00594E7B"/>
    <w:rsid w:val="00595211"/>
    <w:rsid w:val="00595238"/>
    <w:rsid w:val="0059524F"/>
    <w:rsid w:val="00595ACC"/>
    <w:rsid w:val="005964F4"/>
    <w:rsid w:val="0059650A"/>
    <w:rsid w:val="0059661D"/>
    <w:rsid w:val="00596955"/>
    <w:rsid w:val="00596BE3"/>
    <w:rsid w:val="00596E9C"/>
    <w:rsid w:val="00597423"/>
    <w:rsid w:val="005975CC"/>
    <w:rsid w:val="0059783E"/>
    <w:rsid w:val="00597AFD"/>
    <w:rsid w:val="005A0681"/>
    <w:rsid w:val="005A06BC"/>
    <w:rsid w:val="005A0790"/>
    <w:rsid w:val="005A0AB7"/>
    <w:rsid w:val="005A1217"/>
    <w:rsid w:val="005A19EB"/>
    <w:rsid w:val="005A1D92"/>
    <w:rsid w:val="005A2150"/>
    <w:rsid w:val="005A2621"/>
    <w:rsid w:val="005A3ACB"/>
    <w:rsid w:val="005A3F3F"/>
    <w:rsid w:val="005A437A"/>
    <w:rsid w:val="005A5668"/>
    <w:rsid w:val="005A5B51"/>
    <w:rsid w:val="005A5BC0"/>
    <w:rsid w:val="005A625A"/>
    <w:rsid w:val="005A671C"/>
    <w:rsid w:val="005A7321"/>
    <w:rsid w:val="005B0093"/>
    <w:rsid w:val="005B090F"/>
    <w:rsid w:val="005B0A82"/>
    <w:rsid w:val="005B135C"/>
    <w:rsid w:val="005B1710"/>
    <w:rsid w:val="005B1E14"/>
    <w:rsid w:val="005B36EA"/>
    <w:rsid w:val="005B3701"/>
    <w:rsid w:val="005B39BD"/>
    <w:rsid w:val="005B408B"/>
    <w:rsid w:val="005B40C3"/>
    <w:rsid w:val="005B416A"/>
    <w:rsid w:val="005B5B5E"/>
    <w:rsid w:val="005B65D1"/>
    <w:rsid w:val="005B6B66"/>
    <w:rsid w:val="005B6C6E"/>
    <w:rsid w:val="005B72EE"/>
    <w:rsid w:val="005B76C2"/>
    <w:rsid w:val="005B7AAA"/>
    <w:rsid w:val="005C0101"/>
    <w:rsid w:val="005C04A2"/>
    <w:rsid w:val="005C068D"/>
    <w:rsid w:val="005C0F6E"/>
    <w:rsid w:val="005C1419"/>
    <w:rsid w:val="005C14B0"/>
    <w:rsid w:val="005C1AEE"/>
    <w:rsid w:val="005C22C8"/>
    <w:rsid w:val="005C2D84"/>
    <w:rsid w:val="005C337B"/>
    <w:rsid w:val="005C3E5E"/>
    <w:rsid w:val="005C3FCC"/>
    <w:rsid w:val="005C426C"/>
    <w:rsid w:val="005C490E"/>
    <w:rsid w:val="005C4939"/>
    <w:rsid w:val="005C49D9"/>
    <w:rsid w:val="005C54C0"/>
    <w:rsid w:val="005C56CE"/>
    <w:rsid w:val="005C60E6"/>
    <w:rsid w:val="005C622E"/>
    <w:rsid w:val="005C696E"/>
    <w:rsid w:val="005C7143"/>
    <w:rsid w:val="005C7A4C"/>
    <w:rsid w:val="005D08F8"/>
    <w:rsid w:val="005D09BB"/>
    <w:rsid w:val="005D0D79"/>
    <w:rsid w:val="005D0EB4"/>
    <w:rsid w:val="005D1031"/>
    <w:rsid w:val="005D1179"/>
    <w:rsid w:val="005D1197"/>
    <w:rsid w:val="005D125F"/>
    <w:rsid w:val="005D20BA"/>
    <w:rsid w:val="005D285C"/>
    <w:rsid w:val="005D3845"/>
    <w:rsid w:val="005D3A8A"/>
    <w:rsid w:val="005D3AE7"/>
    <w:rsid w:val="005D3E1A"/>
    <w:rsid w:val="005D3F8B"/>
    <w:rsid w:val="005D4A6E"/>
    <w:rsid w:val="005D4D49"/>
    <w:rsid w:val="005D598F"/>
    <w:rsid w:val="005D71C9"/>
    <w:rsid w:val="005D7930"/>
    <w:rsid w:val="005E04BA"/>
    <w:rsid w:val="005E12E0"/>
    <w:rsid w:val="005E12EA"/>
    <w:rsid w:val="005E1776"/>
    <w:rsid w:val="005E1A21"/>
    <w:rsid w:val="005E222E"/>
    <w:rsid w:val="005E246F"/>
    <w:rsid w:val="005E25D3"/>
    <w:rsid w:val="005E2970"/>
    <w:rsid w:val="005E2A50"/>
    <w:rsid w:val="005E3656"/>
    <w:rsid w:val="005E3688"/>
    <w:rsid w:val="005E460F"/>
    <w:rsid w:val="005E5D8E"/>
    <w:rsid w:val="005E62C6"/>
    <w:rsid w:val="005E6371"/>
    <w:rsid w:val="005E6B08"/>
    <w:rsid w:val="005E6D44"/>
    <w:rsid w:val="005F0026"/>
    <w:rsid w:val="005F04E4"/>
    <w:rsid w:val="005F0593"/>
    <w:rsid w:val="005F0DF2"/>
    <w:rsid w:val="005F0F31"/>
    <w:rsid w:val="005F0F71"/>
    <w:rsid w:val="005F1433"/>
    <w:rsid w:val="005F1781"/>
    <w:rsid w:val="005F1B2C"/>
    <w:rsid w:val="005F25AF"/>
    <w:rsid w:val="005F2A40"/>
    <w:rsid w:val="005F2CC2"/>
    <w:rsid w:val="005F2D53"/>
    <w:rsid w:val="005F32D9"/>
    <w:rsid w:val="005F3465"/>
    <w:rsid w:val="005F35E4"/>
    <w:rsid w:val="005F36F1"/>
    <w:rsid w:val="005F3894"/>
    <w:rsid w:val="005F4E35"/>
    <w:rsid w:val="005F50B9"/>
    <w:rsid w:val="005F54CE"/>
    <w:rsid w:val="005F5553"/>
    <w:rsid w:val="005F597F"/>
    <w:rsid w:val="005F7D6E"/>
    <w:rsid w:val="005F7F44"/>
    <w:rsid w:val="006003C9"/>
    <w:rsid w:val="00600A9A"/>
    <w:rsid w:val="00601B6F"/>
    <w:rsid w:val="00601C7F"/>
    <w:rsid w:val="0060236F"/>
    <w:rsid w:val="0060299F"/>
    <w:rsid w:val="00602B30"/>
    <w:rsid w:val="00603038"/>
    <w:rsid w:val="0060330E"/>
    <w:rsid w:val="00603433"/>
    <w:rsid w:val="00603507"/>
    <w:rsid w:val="006035F0"/>
    <w:rsid w:val="00603747"/>
    <w:rsid w:val="0060397B"/>
    <w:rsid w:val="00603D96"/>
    <w:rsid w:val="00603E17"/>
    <w:rsid w:val="00603F02"/>
    <w:rsid w:val="00604444"/>
    <w:rsid w:val="006048B4"/>
    <w:rsid w:val="0060500E"/>
    <w:rsid w:val="00605870"/>
    <w:rsid w:val="00605A1A"/>
    <w:rsid w:val="00606BE6"/>
    <w:rsid w:val="00606D9F"/>
    <w:rsid w:val="00607668"/>
    <w:rsid w:val="00610383"/>
    <w:rsid w:val="00611723"/>
    <w:rsid w:val="00611C5B"/>
    <w:rsid w:val="00611F9A"/>
    <w:rsid w:val="006122BC"/>
    <w:rsid w:val="00612578"/>
    <w:rsid w:val="00612E48"/>
    <w:rsid w:val="00613530"/>
    <w:rsid w:val="0061397E"/>
    <w:rsid w:val="00613CE3"/>
    <w:rsid w:val="00613EEB"/>
    <w:rsid w:val="006148FF"/>
    <w:rsid w:val="00614928"/>
    <w:rsid w:val="00615E23"/>
    <w:rsid w:val="006165B1"/>
    <w:rsid w:val="006166E5"/>
    <w:rsid w:val="00616E6B"/>
    <w:rsid w:val="00616F07"/>
    <w:rsid w:val="006173B9"/>
    <w:rsid w:val="0061744C"/>
    <w:rsid w:val="00617486"/>
    <w:rsid w:val="0061770D"/>
    <w:rsid w:val="00617A87"/>
    <w:rsid w:val="00617AF1"/>
    <w:rsid w:val="00617E39"/>
    <w:rsid w:val="006214E8"/>
    <w:rsid w:val="006218FE"/>
    <w:rsid w:val="00621A7B"/>
    <w:rsid w:val="00621F15"/>
    <w:rsid w:val="0062271E"/>
    <w:rsid w:val="006229FB"/>
    <w:rsid w:val="00622B80"/>
    <w:rsid w:val="00622C2B"/>
    <w:rsid w:val="00623564"/>
    <w:rsid w:val="006237EA"/>
    <w:rsid w:val="00623CAA"/>
    <w:rsid w:val="00623E42"/>
    <w:rsid w:val="006240E5"/>
    <w:rsid w:val="006241A6"/>
    <w:rsid w:val="00624487"/>
    <w:rsid w:val="00624BB2"/>
    <w:rsid w:val="00625069"/>
    <w:rsid w:val="00625A58"/>
    <w:rsid w:val="00625E5E"/>
    <w:rsid w:val="00625F59"/>
    <w:rsid w:val="00626AD9"/>
    <w:rsid w:val="00626DAB"/>
    <w:rsid w:val="00626E5E"/>
    <w:rsid w:val="006272AD"/>
    <w:rsid w:val="0063065B"/>
    <w:rsid w:val="006309D6"/>
    <w:rsid w:val="00631033"/>
    <w:rsid w:val="006315A5"/>
    <w:rsid w:val="0063241F"/>
    <w:rsid w:val="00632E1E"/>
    <w:rsid w:val="00633075"/>
    <w:rsid w:val="00633199"/>
    <w:rsid w:val="0063336E"/>
    <w:rsid w:val="0063372E"/>
    <w:rsid w:val="00634877"/>
    <w:rsid w:val="006354D8"/>
    <w:rsid w:val="00635AEB"/>
    <w:rsid w:val="00635C69"/>
    <w:rsid w:val="00635EE8"/>
    <w:rsid w:val="006364A6"/>
    <w:rsid w:val="00636708"/>
    <w:rsid w:val="0063686F"/>
    <w:rsid w:val="00637690"/>
    <w:rsid w:val="0063785F"/>
    <w:rsid w:val="00637AD9"/>
    <w:rsid w:val="006403EF"/>
    <w:rsid w:val="00640A86"/>
    <w:rsid w:val="006412BD"/>
    <w:rsid w:val="00641870"/>
    <w:rsid w:val="006418E1"/>
    <w:rsid w:val="00642480"/>
    <w:rsid w:val="00642DA0"/>
    <w:rsid w:val="00642EEE"/>
    <w:rsid w:val="006430B5"/>
    <w:rsid w:val="00643AA4"/>
    <w:rsid w:val="00643AC3"/>
    <w:rsid w:val="0064468D"/>
    <w:rsid w:val="006448D5"/>
    <w:rsid w:val="00644B36"/>
    <w:rsid w:val="006452FC"/>
    <w:rsid w:val="00645740"/>
    <w:rsid w:val="00645A2A"/>
    <w:rsid w:val="0064729E"/>
    <w:rsid w:val="00647660"/>
    <w:rsid w:val="0064774C"/>
    <w:rsid w:val="00647D81"/>
    <w:rsid w:val="00647E60"/>
    <w:rsid w:val="0065009F"/>
    <w:rsid w:val="0065052B"/>
    <w:rsid w:val="00650828"/>
    <w:rsid w:val="006513F9"/>
    <w:rsid w:val="0065157D"/>
    <w:rsid w:val="006520A1"/>
    <w:rsid w:val="006521B8"/>
    <w:rsid w:val="006526BB"/>
    <w:rsid w:val="00652C2F"/>
    <w:rsid w:val="00653226"/>
    <w:rsid w:val="006537CC"/>
    <w:rsid w:val="006538AF"/>
    <w:rsid w:val="00654B12"/>
    <w:rsid w:val="00654B65"/>
    <w:rsid w:val="006552A8"/>
    <w:rsid w:val="006554D0"/>
    <w:rsid w:val="00656239"/>
    <w:rsid w:val="00656813"/>
    <w:rsid w:val="00656E1F"/>
    <w:rsid w:val="0065761B"/>
    <w:rsid w:val="00657859"/>
    <w:rsid w:val="0066028C"/>
    <w:rsid w:val="00660345"/>
    <w:rsid w:val="006605C6"/>
    <w:rsid w:val="00660FE7"/>
    <w:rsid w:val="0066298F"/>
    <w:rsid w:val="00662C23"/>
    <w:rsid w:val="00662E10"/>
    <w:rsid w:val="00662E21"/>
    <w:rsid w:val="00663409"/>
    <w:rsid w:val="00663C8D"/>
    <w:rsid w:val="00664F7C"/>
    <w:rsid w:val="00665594"/>
    <w:rsid w:val="00665864"/>
    <w:rsid w:val="00665881"/>
    <w:rsid w:val="00665C11"/>
    <w:rsid w:val="00665DB9"/>
    <w:rsid w:val="00666166"/>
    <w:rsid w:val="00666C82"/>
    <w:rsid w:val="00667657"/>
    <w:rsid w:val="0066798A"/>
    <w:rsid w:val="00667D43"/>
    <w:rsid w:val="006700BE"/>
    <w:rsid w:val="006701BE"/>
    <w:rsid w:val="00671642"/>
    <w:rsid w:val="0067264F"/>
    <w:rsid w:val="0067270F"/>
    <w:rsid w:val="006727B7"/>
    <w:rsid w:val="00672823"/>
    <w:rsid w:val="00672B6A"/>
    <w:rsid w:val="00673039"/>
    <w:rsid w:val="006730F0"/>
    <w:rsid w:val="00674E01"/>
    <w:rsid w:val="00675208"/>
    <w:rsid w:val="0067736F"/>
    <w:rsid w:val="00677892"/>
    <w:rsid w:val="00677BAB"/>
    <w:rsid w:val="00680462"/>
    <w:rsid w:val="00680A34"/>
    <w:rsid w:val="00680BB4"/>
    <w:rsid w:val="00680CF4"/>
    <w:rsid w:val="006817B9"/>
    <w:rsid w:val="00681A2D"/>
    <w:rsid w:val="00682442"/>
    <w:rsid w:val="00682BB8"/>
    <w:rsid w:val="00682E41"/>
    <w:rsid w:val="0068379D"/>
    <w:rsid w:val="0068424F"/>
    <w:rsid w:val="00684447"/>
    <w:rsid w:val="0068477A"/>
    <w:rsid w:val="00684BA0"/>
    <w:rsid w:val="00684DAE"/>
    <w:rsid w:val="006851D2"/>
    <w:rsid w:val="00685B54"/>
    <w:rsid w:val="006862E1"/>
    <w:rsid w:val="00686D19"/>
    <w:rsid w:val="00686FC7"/>
    <w:rsid w:val="0068742B"/>
    <w:rsid w:val="00687A23"/>
    <w:rsid w:val="00687EC7"/>
    <w:rsid w:val="00691920"/>
    <w:rsid w:val="00691C41"/>
    <w:rsid w:val="00691D43"/>
    <w:rsid w:val="00692CFB"/>
    <w:rsid w:val="0069320B"/>
    <w:rsid w:val="00695C9B"/>
    <w:rsid w:val="00695E29"/>
    <w:rsid w:val="00695ECC"/>
    <w:rsid w:val="00696524"/>
    <w:rsid w:val="00696554"/>
    <w:rsid w:val="006967D1"/>
    <w:rsid w:val="00697425"/>
    <w:rsid w:val="006977B2"/>
    <w:rsid w:val="00697A61"/>
    <w:rsid w:val="006A0864"/>
    <w:rsid w:val="006A0989"/>
    <w:rsid w:val="006A0A91"/>
    <w:rsid w:val="006A0CC1"/>
    <w:rsid w:val="006A1334"/>
    <w:rsid w:val="006A18C8"/>
    <w:rsid w:val="006A1B42"/>
    <w:rsid w:val="006A1DB2"/>
    <w:rsid w:val="006A20FE"/>
    <w:rsid w:val="006A3120"/>
    <w:rsid w:val="006A4173"/>
    <w:rsid w:val="006A41B1"/>
    <w:rsid w:val="006A429D"/>
    <w:rsid w:val="006A5122"/>
    <w:rsid w:val="006A5258"/>
    <w:rsid w:val="006A5359"/>
    <w:rsid w:val="006A5EA8"/>
    <w:rsid w:val="006A71A8"/>
    <w:rsid w:val="006A72D7"/>
    <w:rsid w:val="006A79AD"/>
    <w:rsid w:val="006A7BC6"/>
    <w:rsid w:val="006A7F0E"/>
    <w:rsid w:val="006B0247"/>
    <w:rsid w:val="006B064E"/>
    <w:rsid w:val="006B111C"/>
    <w:rsid w:val="006B1BA2"/>
    <w:rsid w:val="006B203D"/>
    <w:rsid w:val="006B29E5"/>
    <w:rsid w:val="006B2E11"/>
    <w:rsid w:val="006B2EBF"/>
    <w:rsid w:val="006B3A72"/>
    <w:rsid w:val="006B3E31"/>
    <w:rsid w:val="006B406E"/>
    <w:rsid w:val="006B445D"/>
    <w:rsid w:val="006B456E"/>
    <w:rsid w:val="006B4898"/>
    <w:rsid w:val="006B4F10"/>
    <w:rsid w:val="006B50A8"/>
    <w:rsid w:val="006B5778"/>
    <w:rsid w:val="006B5E96"/>
    <w:rsid w:val="006B6484"/>
    <w:rsid w:val="006B6E24"/>
    <w:rsid w:val="006B72D1"/>
    <w:rsid w:val="006B7EA1"/>
    <w:rsid w:val="006C055D"/>
    <w:rsid w:val="006C065D"/>
    <w:rsid w:val="006C0843"/>
    <w:rsid w:val="006C09B6"/>
    <w:rsid w:val="006C0C31"/>
    <w:rsid w:val="006C0CD9"/>
    <w:rsid w:val="006C123E"/>
    <w:rsid w:val="006C156C"/>
    <w:rsid w:val="006C158F"/>
    <w:rsid w:val="006C196D"/>
    <w:rsid w:val="006C1979"/>
    <w:rsid w:val="006C2535"/>
    <w:rsid w:val="006C2A73"/>
    <w:rsid w:val="006C2C67"/>
    <w:rsid w:val="006C2DF3"/>
    <w:rsid w:val="006C36BE"/>
    <w:rsid w:val="006C36EA"/>
    <w:rsid w:val="006C376A"/>
    <w:rsid w:val="006C3B48"/>
    <w:rsid w:val="006C3E7E"/>
    <w:rsid w:val="006C3EB9"/>
    <w:rsid w:val="006C42BE"/>
    <w:rsid w:val="006C54C7"/>
    <w:rsid w:val="006C5EBD"/>
    <w:rsid w:val="006C7B95"/>
    <w:rsid w:val="006D0714"/>
    <w:rsid w:val="006D09FA"/>
    <w:rsid w:val="006D0AA1"/>
    <w:rsid w:val="006D0CEF"/>
    <w:rsid w:val="006D1114"/>
    <w:rsid w:val="006D2666"/>
    <w:rsid w:val="006D272D"/>
    <w:rsid w:val="006D2AC2"/>
    <w:rsid w:val="006D33F8"/>
    <w:rsid w:val="006D36CB"/>
    <w:rsid w:val="006D3961"/>
    <w:rsid w:val="006D3A47"/>
    <w:rsid w:val="006D3EE9"/>
    <w:rsid w:val="006D426C"/>
    <w:rsid w:val="006D432D"/>
    <w:rsid w:val="006D47EF"/>
    <w:rsid w:val="006D47FD"/>
    <w:rsid w:val="006D49F3"/>
    <w:rsid w:val="006D4E0D"/>
    <w:rsid w:val="006D562A"/>
    <w:rsid w:val="006D564C"/>
    <w:rsid w:val="006D5964"/>
    <w:rsid w:val="006D5AC4"/>
    <w:rsid w:val="006D5D59"/>
    <w:rsid w:val="006D6194"/>
    <w:rsid w:val="006D68F5"/>
    <w:rsid w:val="006D7A4B"/>
    <w:rsid w:val="006D7D89"/>
    <w:rsid w:val="006E00E6"/>
    <w:rsid w:val="006E0A3D"/>
    <w:rsid w:val="006E0D98"/>
    <w:rsid w:val="006E107C"/>
    <w:rsid w:val="006E1249"/>
    <w:rsid w:val="006E16B2"/>
    <w:rsid w:val="006E17D3"/>
    <w:rsid w:val="006E1ACB"/>
    <w:rsid w:val="006E2721"/>
    <w:rsid w:val="006E2C06"/>
    <w:rsid w:val="006E4A18"/>
    <w:rsid w:val="006E51C7"/>
    <w:rsid w:val="006E5DA3"/>
    <w:rsid w:val="006E6062"/>
    <w:rsid w:val="006E60FC"/>
    <w:rsid w:val="006E622E"/>
    <w:rsid w:val="006E624D"/>
    <w:rsid w:val="006E626C"/>
    <w:rsid w:val="006E684A"/>
    <w:rsid w:val="006E6D2E"/>
    <w:rsid w:val="006E7023"/>
    <w:rsid w:val="006E7A6D"/>
    <w:rsid w:val="006F06FB"/>
    <w:rsid w:val="006F07BC"/>
    <w:rsid w:val="006F0A5B"/>
    <w:rsid w:val="006F0BCE"/>
    <w:rsid w:val="006F11A1"/>
    <w:rsid w:val="006F148B"/>
    <w:rsid w:val="006F17C1"/>
    <w:rsid w:val="006F2777"/>
    <w:rsid w:val="006F2806"/>
    <w:rsid w:val="006F2A68"/>
    <w:rsid w:val="006F3803"/>
    <w:rsid w:val="006F38CA"/>
    <w:rsid w:val="006F5BAF"/>
    <w:rsid w:val="006F69EC"/>
    <w:rsid w:val="006F7665"/>
    <w:rsid w:val="006F78AA"/>
    <w:rsid w:val="00700411"/>
    <w:rsid w:val="00700AAD"/>
    <w:rsid w:val="0070138D"/>
    <w:rsid w:val="007017A8"/>
    <w:rsid w:val="00701A29"/>
    <w:rsid w:val="00701C5E"/>
    <w:rsid w:val="00701F02"/>
    <w:rsid w:val="00701F31"/>
    <w:rsid w:val="0070256E"/>
    <w:rsid w:val="00702734"/>
    <w:rsid w:val="00702C6E"/>
    <w:rsid w:val="007032A0"/>
    <w:rsid w:val="00704648"/>
    <w:rsid w:val="00704755"/>
    <w:rsid w:val="00704FC6"/>
    <w:rsid w:val="007053AE"/>
    <w:rsid w:val="00705712"/>
    <w:rsid w:val="00705822"/>
    <w:rsid w:val="00705852"/>
    <w:rsid w:val="00705CD3"/>
    <w:rsid w:val="00706051"/>
    <w:rsid w:val="0070606D"/>
    <w:rsid w:val="007061E3"/>
    <w:rsid w:val="00706378"/>
    <w:rsid w:val="007064B3"/>
    <w:rsid w:val="007067D1"/>
    <w:rsid w:val="00707351"/>
    <w:rsid w:val="00707AF0"/>
    <w:rsid w:val="00707D45"/>
    <w:rsid w:val="0071018D"/>
    <w:rsid w:val="0071036A"/>
    <w:rsid w:val="00710440"/>
    <w:rsid w:val="007104A4"/>
    <w:rsid w:val="007109D1"/>
    <w:rsid w:val="00710ACC"/>
    <w:rsid w:val="00711601"/>
    <w:rsid w:val="00711C46"/>
    <w:rsid w:val="00711CAA"/>
    <w:rsid w:val="00711EE0"/>
    <w:rsid w:val="00712049"/>
    <w:rsid w:val="00712382"/>
    <w:rsid w:val="007132ED"/>
    <w:rsid w:val="00713324"/>
    <w:rsid w:val="0071333E"/>
    <w:rsid w:val="00713775"/>
    <w:rsid w:val="00714350"/>
    <w:rsid w:val="00714400"/>
    <w:rsid w:val="0071461C"/>
    <w:rsid w:val="00714745"/>
    <w:rsid w:val="0071502E"/>
    <w:rsid w:val="00715039"/>
    <w:rsid w:val="00715278"/>
    <w:rsid w:val="00715AD2"/>
    <w:rsid w:val="00716141"/>
    <w:rsid w:val="00716152"/>
    <w:rsid w:val="00716801"/>
    <w:rsid w:val="0071699E"/>
    <w:rsid w:val="00716C30"/>
    <w:rsid w:val="00717F3C"/>
    <w:rsid w:val="00717F70"/>
    <w:rsid w:val="00720C59"/>
    <w:rsid w:val="00720D0D"/>
    <w:rsid w:val="00721020"/>
    <w:rsid w:val="00721CA2"/>
    <w:rsid w:val="007228F6"/>
    <w:rsid w:val="00723871"/>
    <w:rsid w:val="00725EE6"/>
    <w:rsid w:val="007263EB"/>
    <w:rsid w:val="007266E3"/>
    <w:rsid w:val="0072671E"/>
    <w:rsid w:val="00726723"/>
    <w:rsid w:val="00726A4C"/>
    <w:rsid w:val="00726DA4"/>
    <w:rsid w:val="00726F97"/>
    <w:rsid w:val="00727005"/>
    <w:rsid w:val="007271A2"/>
    <w:rsid w:val="007274C7"/>
    <w:rsid w:val="00727CD9"/>
    <w:rsid w:val="00730EA9"/>
    <w:rsid w:val="00730F53"/>
    <w:rsid w:val="00731493"/>
    <w:rsid w:val="00731576"/>
    <w:rsid w:val="00731806"/>
    <w:rsid w:val="00731B44"/>
    <w:rsid w:val="00731DA5"/>
    <w:rsid w:val="007328C6"/>
    <w:rsid w:val="007329AC"/>
    <w:rsid w:val="00732E21"/>
    <w:rsid w:val="0073364B"/>
    <w:rsid w:val="00733B79"/>
    <w:rsid w:val="00733CE9"/>
    <w:rsid w:val="00733E24"/>
    <w:rsid w:val="00733FE8"/>
    <w:rsid w:val="007340DF"/>
    <w:rsid w:val="00734CBA"/>
    <w:rsid w:val="00734DAA"/>
    <w:rsid w:val="0073502D"/>
    <w:rsid w:val="0073549E"/>
    <w:rsid w:val="00735C6B"/>
    <w:rsid w:val="00735C92"/>
    <w:rsid w:val="00736074"/>
    <w:rsid w:val="007364D2"/>
    <w:rsid w:val="0073655C"/>
    <w:rsid w:val="0073657C"/>
    <w:rsid w:val="007370F4"/>
    <w:rsid w:val="00737302"/>
    <w:rsid w:val="00737D67"/>
    <w:rsid w:val="00737D9E"/>
    <w:rsid w:val="007402B1"/>
    <w:rsid w:val="0074097D"/>
    <w:rsid w:val="00740DCD"/>
    <w:rsid w:val="00741239"/>
    <w:rsid w:val="0074163E"/>
    <w:rsid w:val="0074166B"/>
    <w:rsid w:val="00741D91"/>
    <w:rsid w:val="00742123"/>
    <w:rsid w:val="007427A1"/>
    <w:rsid w:val="00742CB5"/>
    <w:rsid w:val="00742EDA"/>
    <w:rsid w:val="00744258"/>
    <w:rsid w:val="00744340"/>
    <w:rsid w:val="00744960"/>
    <w:rsid w:val="00744A4B"/>
    <w:rsid w:val="00744D1F"/>
    <w:rsid w:val="00745048"/>
    <w:rsid w:val="007454AF"/>
    <w:rsid w:val="007457B3"/>
    <w:rsid w:val="007457CF"/>
    <w:rsid w:val="0074582F"/>
    <w:rsid w:val="00746076"/>
    <w:rsid w:val="007461BB"/>
    <w:rsid w:val="00746906"/>
    <w:rsid w:val="007469C9"/>
    <w:rsid w:val="00746EED"/>
    <w:rsid w:val="007473D5"/>
    <w:rsid w:val="0074771E"/>
    <w:rsid w:val="00747BC0"/>
    <w:rsid w:val="007506AF"/>
    <w:rsid w:val="00750E23"/>
    <w:rsid w:val="007511C1"/>
    <w:rsid w:val="0075130D"/>
    <w:rsid w:val="007523F7"/>
    <w:rsid w:val="00752AD6"/>
    <w:rsid w:val="00752B89"/>
    <w:rsid w:val="0075307E"/>
    <w:rsid w:val="0075334B"/>
    <w:rsid w:val="00753BBF"/>
    <w:rsid w:val="0075475F"/>
    <w:rsid w:val="007547DB"/>
    <w:rsid w:val="00754907"/>
    <w:rsid w:val="00754E77"/>
    <w:rsid w:val="007552EC"/>
    <w:rsid w:val="0075535C"/>
    <w:rsid w:val="007556E2"/>
    <w:rsid w:val="00755A4E"/>
    <w:rsid w:val="00755BDD"/>
    <w:rsid w:val="00755FF5"/>
    <w:rsid w:val="0075628F"/>
    <w:rsid w:val="007572BD"/>
    <w:rsid w:val="00757B77"/>
    <w:rsid w:val="00757BB1"/>
    <w:rsid w:val="007605E7"/>
    <w:rsid w:val="007608AC"/>
    <w:rsid w:val="007609BF"/>
    <w:rsid w:val="00760B10"/>
    <w:rsid w:val="007611F5"/>
    <w:rsid w:val="00761308"/>
    <w:rsid w:val="007617E0"/>
    <w:rsid w:val="00761952"/>
    <w:rsid w:val="00761C96"/>
    <w:rsid w:val="0076256F"/>
    <w:rsid w:val="007627E0"/>
    <w:rsid w:val="00762C61"/>
    <w:rsid w:val="00762DA6"/>
    <w:rsid w:val="007631C4"/>
    <w:rsid w:val="007632B9"/>
    <w:rsid w:val="007633C0"/>
    <w:rsid w:val="00763888"/>
    <w:rsid w:val="00763EB9"/>
    <w:rsid w:val="00764287"/>
    <w:rsid w:val="0076467B"/>
    <w:rsid w:val="00764B7E"/>
    <w:rsid w:val="00765112"/>
    <w:rsid w:val="00765169"/>
    <w:rsid w:val="0076532E"/>
    <w:rsid w:val="007667D7"/>
    <w:rsid w:val="00766851"/>
    <w:rsid w:val="00766A22"/>
    <w:rsid w:val="0076706C"/>
    <w:rsid w:val="0076754C"/>
    <w:rsid w:val="00767D20"/>
    <w:rsid w:val="00770362"/>
    <w:rsid w:val="00770482"/>
    <w:rsid w:val="007706AF"/>
    <w:rsid w:val="00771082"/>
    <w:rsid w:val="007711A2"/>
    <w:rsid w:val="00771B13"/>
    <w:rsid w:val="00771CB0"/>
    <w:rsid w:val="007721E6"/>
    <w:rsid w:val="00772381"/>
    <w:rsid w:val="00773433"/>
    <w:rsid w:val="00773CB3"/>
    <w:rsid w:val="00774182"/>
    <w:rsid w:val="007741E2"/>
    <w:rsid w:val="0077438C"/>
    <w:rsid w:val="007748C5"/>
    <w:rsid w:val="00775979"/>
    <w:rsid w:val="00776BE3"/>
    <w:rsid w:val="0077726A"/>
    <w:rsid w:val="00777351"/>
    <w:rsid w:val="007776C1"/>
    <w:rsid w:val="0078007F"/>
    <w:rsid w:val="00780651"/>
    <w:rsid w:val="00781118"/>
    <w:rsid w:val="00781534"/>
    <w:rsid w:val="0078159A"/>
    <w:rsid w:val="00781B66"/>
    <w:rsid w:val="00781B7D"/>
    <w:rsid w:val="00782D18"/>
    <w:rsid w:val="00783059"/>
    <w:rsid w:val="00783A52"/>
    <w:rsid w:val="00783A79"/>
    <w:rsid w:val="00783F40"/>
    <w:rsid w:val="00784052"/>
    <w:rsid w:val="007845D2"/>
    <w:rsid w:val="00784DD5"/>
    <w:rsid w:val="00785450"/>
    <w:rsid w:val="00785695"/>
    <w:rsid w:val="00785BE7"/>
    <w:rsid w:val="00785C98"/>
    <w:rsid w:val="00785D26"/>
    <w:rsid w:val="00786079"/>
    <w:rsid w:val="00786ED5"/>
    <w:rsid w:val="0078763A"/>
    <w:rsid w:val="007900AF"/>
    <w:rsid w:val="007901A4"/>
    <w:rsid w:val="00790951"/>
    <w:rsid w:val="00790C5E"/>
    <w:rsid w:val="0079193B"/>
    <w:rsid w:val="00792899"/>
    <w:rsid w:val="0079291D"/>
    <w:rsid w:val="00792A42"/>
    <w:rsid w:val="0079327C"/>
    <w:rsid w:val="00793F74"/>
    <w:rsid w:val="0079405F"/>
    <w:rsid w:val="007940DB"/>
    <w:rsid w:val="00794364"/>
    <w:rsid w:val="00794D95"/>
    <w:rsid w:val="00794F78"/>
    <w:rsid w:val="00795433"/>
    <w:rsid w:val="00795550"/>
    <w:rsid w:val="00795EB0"/>
    <w:rsid w:val="007965A1"/>
    <w:rsid w:val="00797505"/>
    <w:rsid w:val="007975FF"/>
    <w:rsid w:val="00797FE2"/>
    <w:rsid w:val="007A02E2"/>
    <w:rsid w:val="007A036A"/>
    <w:rsid w:val="007A0527"/>
    <w:rsid w:val="007A19C9"/>
    <w:rsid w:val="007A2676"/>
    <w:rsid w:val="007A27C6"/>
    <w:rsid w:val="007A28E0"/>
    <w:rsid w:val="007A293C"/>
    <w:rsid w:val="007A2E0E"/>
    <w:rsid w:val="007A3A2F"/>
    <w:rsid w:val="007A3DEE"/>
    <w:rsid w:val="007A40C4"/>
    <w:rsid w:val="007A4BC1"/>
    <w:rsid w:val="007A5256"/>
    <w:rsid w:val="007A56E1"/>
    <w:rsid w:val="007A5808"/>
    <w:rsid w:val="007A5B10"/>
    <w:rsid w:val="007A5DE3"/>
    <w:rsid w:val="007A6035"/>
    <w:rsid w:val="007A6F71"/>
    <w:rsid w:val="007A71F6"/>
    <w:rsid w:val="007A725A"/>
    <w:rsid w:val="007A7A40"/>
    <w:rsid w:val="007A7CF5"/>
    <w:rsid w:val="007B0149"/>
    <w:rsid w:val="007B0740"/>
    <w:rsid w:val="007B07C9"/>
    <w:rsid w:val="007B0828"/>
    <w:rsid w:val="007B1628"/>
    <w:rsid w:val="007B1BB4"/>
    <w:rsid w:val="007B24D5"/>
    <w:rsid w:val="007B343F"/>
    <w:rsid w:val="007B3840"/>
    <w:rsid w:val="007B3F3A"/>
    <w:rsid w:val="007B4373"/>
    <w:rsid w:val="007B4709"/>
    <w:rsid w:val="007B4C30"/>
    <w:rsid w:val="007B4C6A"/>
    <w:rsid w:val="007B54CE"/>
    <w:rsid w:val="007B5CEC"/>
    <w:rsid w:val="007B60AB"/>
    <w:rsid w:val="007B65A0"/>
    <w:rsid w:val="007B6BD7"/>
    <w:rsid w:val="007B6D69"/>
    <w:rsid w:val="007B6E5E"/>
    <w:rsid w:val="007B6FBA"/>
    <w:rsid w:val="007B715B"/>
    <w:rsid w:val="007B7C41"/>
    <w:rsid w:val="007B7E35"/>
    <w:rsid w:val="007B7EB0"/>
    <w:rsid w:val="007C07FC"/>
    <w:rsid w:val="007C0842"/>
    <w:rsid w:val="007C21D7"/>
    <w:rsid w:val="007C342F"/>
    <w:rsid w:val="007C384C"/>
    <w:rsid w:val="007C3881"/>
    <w:rsid w:val="007C3939"/>
    <w:rsid w:val="007C3EBF"/>
    <w:rsid w:val="007C44C2"/>
    <w:rsid w:val="007C52A1"/>
    <w:rsid w:val="007C567E"/>
    <w:rsid w:val="007C60DA"/>
    <w:rsid w:val="007C6EA0"/>
    <w:rsid w:val="007C7AC4"/>
    <w:rsid w:val="007C7F5F"/>
    <w:rsid w:val="007D0052"/>
    <w:rsid w:val="007D124F"/>
    <w:rsid w:val="007D14F1"/>
    <w:rsid w:val="007D16AB"/>
    <w:rsid w:val="007D2391"/>
    <w:rsid w:val="007D2436"/>
    <w:rsid w:val="007D2B3F"/>
    <w:rsid w:val="007D3922"/>
    <w:rsid w:val="007D3982"/>
    <w:rsid w:val="007D3BD1"/>
    <w:rsid w:val="007D3DED"/>
    <w:rsid w:val="007D3F99"/>
    <w:rsid w:val="007D4047"/>
    <w:rsid w:val="007D404E"/>
    <w:rsid w:val="007D4241"/>
    <w:rsid w:val="007D468F"/>
    <w:rsid w:val="007D4E76"/>
    <w:rsid w:val="007D4F5A"/>
    <w:rsid w:val="007D4FDD"/>
    <w:rsid w:val="007D589F"/>
    <w:rsid w:val="007D58CB"/>
    <w:rsid w:val="007D5D26"/>
    <w:rsid w:val="007D5EA1"/>
    <w:rsid w:val="007D6083"/>
    <w:rsid w:val="007D78B3"/>
    <w:rsid w:val="007D7E11"/>
    <w:rsid w:val="007D7E9B"/>
    <w:rsid w:val="007E0567"/>
    <w:rsid w:val="007E078B"/>
    <w:rsid w:val="007E0C79"/>
    <w:rsid w:val="007E1047"/>
    <w:rsid w:val="007E142D"/>
    <w:rsid w:val="007E15A3"/>
    <w:rsid w:val="007E1862"/>
    <w:rsid w:val="007E19FA"/>
    <w:rsid w:val="007E2740"/>
    <w:rsid w:val="007E2996"/>
    <w:rsid w:val="007E3239"/>
    <w:rsid w:val="007E3994"/>
    <w:rsid w:val="007E3A6B"/>
    <w:rsid w:val="007E417F"/>
    <w:rsid w:val="007E4740"/>
    <w:rsid w:val="007E4F29"/>
    <w:rsid w:val="007E5870"/>
    <w:rsid w:val="007E6847"/>
    <w:rsid w:val="007E6899"/>
    <w:rsid w:val="007E6A38"/>
    <w:rsid w:val="007E71D6"/>
    <w:rsid w:val="007E7CEB"/>
    <w:rsid w:val="007E7EEE"/>
    <w:rsid w:val="007F0809"/>
    <w:rsid w:val="007F155E"/>
    <w:rsid w:val="007F1643"/>
    <w:rsid w:val="007F1BB7"/>
    <w:rsid w:val="007F1F41"/>
    <w:rsid w:val="007F2E48"/>
    <w:rsid w:val="007F3005"/>
    <w:rsid w:val="007F3901"/>
    <w:rsid w:val="007F3F21"/>
    <w:rsid w:val="007F409D"/>
    <w:rsid w:val="007F4118"/>
    <w:rsid w:val="007F423D"/>
    <w:rsid w:val="007F4C40"/>
    <w:rsid w:val="007F4FE6"/>
    <w:rsid w:val="007F506D"/>
    <w:rsid w:val="007F5B73"/>
    <w:rsid w:val="007F6860"/>
    <w:rsid w:val="007F7230"/>
    <w:rsid w:val="007F750D"/>
    <w:rsid w:val="007F77C4"/>
    <w:rsid w:val="007F7FB2"/>
    <w:rsid w:val="008007B9"/>
    <w:rsid w:val="00800CA2"/>
    <w:rsid w:val="00801A38"/>
    <w:rsid w:val="00801E7F"/>
    <w:rsid w:val="0080209B"/>
    <w:rsid w:val="00803548"/>
    <w:rsid w:val="00803A35"/>
    <w:rsid w:val="008043C9"/>
    <w:rsid w:val="008049AD"/>
    <w:rsid w:val="008049BC"/>
    <w:rsid w:val="0080501B"/>
    <w:rsid w:val="008051EF"/>
    <w:rsid w:val="00805745"/>
    <w:rsid w:val="00805751"/>
    <w:rsid w:val="0080644B"/>
    <w:rsid w:val="00806680"/>
    <w:rsid w:val="00806754"/>
    <w:rsid w:val="00806C40"/>
    <w:rsid w:val="00806D6A"/>
    <w:rsid w:val="00807192"/>
    <w:rsid w:val="008078D5"/>
    <w:rsid w:val="00807F53"/>
    <w:rsid w:val="008100C6"/>
    <w:rsid w:val="008104C1"/>
    <w:rsid w:val="00811BB9"/>
    <w:rsid w:val="00813714"/>
    <w:rsid w:val="00813A5A"/>
    <w:rsid w:val="00814A4E"/>
    <w:rsid w:val="00814AD1"/>
    <w:rsid w:val="00814B11"/>
    <w:rsid w:val="008158A2"/>
    <w:rsid w:val="008161A1"/>
    <w:rsid w:val="0081634E"/>
    <w:rsid w:val="00816394"/>
    <w:rsid w:val="008171F8"/>
    <w:rsid w:val="008172D4"/>
    <w:rsid w:val="008173B1"/>
    <w:rsid w:val="008173C4"/>
    <w:rsid w:val="008173D8"/>
    <w:rsid w:val="008177F6"/>
    <w:rsid w:val="00817A35"/>
    <w:rsid w:val="00820069"/>
    <w:rsid w:val="00820250"/>
    <w:rsid w:val="0082043C"/>
    <w:rsid w:val="00820B89"/>
    <w:rsid w:val="00821184"/>
    <w:rsid w:val="00821215"/>
    <w:rsid w:val="008226FD"/>
    <w:rsid w:val="00822C20"/>
    <w:rsid w:val="00822CB5"/>
    <w:rsid w:val="00822E51"/>
    <w:rsid w:val="00823429"/>
    <w:rsid w:val="00823C3C"/>
    <w:rsid w:val="00824107"/>
    <w:rsid w:val="0082414A"/>
    <w:rsid w:val="008241FE"/>
    <w:rsid w:val="00824386"/>
    <w:rsid w:val="0082458A"/>
    <w:rsid w:val="00824939"/>
    <w:rsid w:val="008266AF"/>
    <w:rsid w:val="0082677F"/>
    <w:rsid w:val="00826C0D"/>
    <w:rsid w:val="00827D7A"/>
    <w:rsid w:val="00830B7E"/>
    <w:rsid w:val="00830DDB"/>
    <w:rsid w:val="00831D5E"/>
    <w:rsid w:val="008320B8"/>
    <w:rsid w:val="008324BA"/>
    <w:rsid w:val="00832695"/>
    <w:rsid w:val="00833030"/>
    <w:rsid w:val="0083333E"/>
    <w:rsid w:val="00834765"/>
    <w:rsid w:val="00834823"/>
    <w:rsid w:val="00834C86"/>
    <w:rsid w:val="00834DBF"/>
    <w:rsid w:val="00835064"/>
    <w:rsid w:val="0083517E"/>
    <w:rsid w:val="008352DD"/>
    <w:rsid w:val="0083537C"/>
    <w:rsid w:val="0083560F"/>
    <w:rsid w:val="00835A4F"/>
    <w:rsid w:val="00835B41"/>
    <w:rsid w:val="00835FB4"/>
    <w:rsid w:val="00836C29"/>
    <w:rsid w:val="00836FA9"/>
    <w:rsid w:val="0084057D"/>
    <w:rsid w:val="0084144F"/>
    <w:rsid w:val="0084159D"/>
    <w:rsid w:val="00842693"/>
    <w:rsid w:val="008426A0"/>
    <w:rsid w:val="00842B42"/>
    <w:rsid w:val="00842DEA"/>
    <w:rsid w:val="00842E66"/>
    <w:rsid w:val="00843B4B"/>
    <w:rsid w:val="00843BC0"/>
    <w:rsid w:val="00844492"/>
    <w:rsid w:val="008444DA"/>
    <w:rsid w:val="008445AC"/>
    <w:rsid w:val="00844893"/>
    <w:rsid w:val="00844FA6"/>
    <w:rsid w:val="008451BA"/>
    <w:rsid w:val="00845B09"/>
    <w:rsid w:val="00845CAA"/>
    <w:rsid w:val="00845D6C"/>
    <w:rsid w:val="00845E94"/>
    <w:rsid w:val="00845F57"/>
    <w:rsid w:val="0084604B"/>
    <w:rsid w:val="00846454"/>
    <w:rsid w:val="00846A78"/>
    <w:rsid w:val="00847D19"/>
    <w:rsid w:val="00847DD5"/>
    <w:rsid w:val="008501F5"/>
    <w:rsid w:val="00850A62"/>
    <w:rsid w:val="00850C06"/>
    <w:rsid w:val="00851DF5"/>
    <w:rsid w:val="008522E5"/>
    <w:rsid w:val="0085237E"/>
    <w:rsid w:val="008526F6"/>
    <w:rsid w:val="00852C81"/>
    <w:rsid w:val="00853A26"/>
    <w:rsid w:val="0085410C"/>
    <w:rsid w:val="0085416C"/>
    <w:rsid w:val="00854C19"/>
    <w:rsid w:val="008552DA"/>
    <w:rsid w:val="008554E0"/>
    <w:rsid w:val="0085585B"/>
    <w:rsid w:val="008558C5"/>
    <w:rsid w:val="00855982"/>
    <w:rsid w:val="00855A45"/>
    <w:rsid w:val="008562DF"/>
    <w:rsid w:val="0085665F"/>
    <w:rsid w:val="008567D1"/>
    <w:rsid w:val="008569D0"/>
    <w:rsid w:val="00856AB3"/>
    <w:rsid w:val="00856C7A"/>
    <w:rsid w:val="00857B82"/>
    <w:rsid w:val="00857BA7"/>
    <w:rsid w:val="00860974"/>
    <w:rsid w:val="0086172E"/>
    <w:rsid w:val="00861A7F"/>
    <w:rsid w:val="00861DE8"/>
    <w:rsid w:val="008628C0"/>
    <w:rsid w:val="008628FE"/>
    <w:rsid w:val="00862F4B"/>
    <w:rsid w:val="008638A2"/>
    <w:rsid w:val="008638AB"/>
    <w:rsid w:val="0086396F"/>
    <w:rsid w:val="008639EF"/>
    <w:rsid w:val="008640D3"/>
    <w:rsid w:val="0086445F"/>
    <w:rsid w:val="00865BC3"/>
    <w:rsid w:val="00865C8F"/>
    <w:rsid w:val="00865CD5"/>
    <w:rsid w:val="00865D1F"/>
    <w:rsid w:val="00865D8F"/>
    <w:rsid w:val="008667BD"/>
    <w:rsid w:val="00866CB3"/>
    <w:rsid w:val="00866E45"/>
    <w:rsid w:val="008670BF"/>
    <w:rsid w:val="008672E5"/>
    <w:rsid w:val="00867441"/>
    <w:rsid w:val="0086786F"/>
    <w:rsid w:val="00867945"/>
    <w:rsid w:val="00867BF8"/>
    <w:rsid w:val="008705FD"/>
    <w:rsid w:val="00871536"/>
    <w:rsid w:val="00872883"/>
    <w:rsid w:val="0087347A"/>
    <w:rsid w:val="00873568"/>
    <w:rsid w:val="00873887"/>
    <w:rsid w:val="00873985"/>
    <w:rsid w:val="00873EF5"/>
    <w:rsid w:val="00874731"/>
    <w:rsid w:val="00874B1B"/>
    <w:rsid w:val="00875F23"/>
    <w:rsid w:val="0087601D"/>
    <w:rsid w:val="0087615A"/>
    <w:rsid w:val="00876747"/>
    <w:rsid w:val="00877498"/>
    <w:rsid w:val="00877A18"/>
    <w:rsid w:val="00880E2B"/>
    <w:rsid w:val="00881245"/>
    <w:rsid w:val="00881551"/>
    <w:rsid w:val="00881D0B"/>
    <w:rsid w:val="0088224D"/>
    <w:rsid w:val="008827A9"/>
    <w:rsid w:val="00882BFD"/>
    <w:rsid w:val="00882FBE"/>
    <w:rsid w:val="008834CB"/>
    <w:rsid w:val="00883737"/>
    <w:rsid w:val="00883930"/>
    <w:rsid w:val="00883F63"/>
    <w:rsid w:val="008841C7"/>
    <w:rsid w:val="00884BCD"/>
    <w:rsid w:val="00884F68"/>
    <w:rsid w:val="00885A5E"/>
    <w:rsid w:val="00885C74"/>
    <w:rsid w:val="00887B35"/>
    <w:rsid w:val="00887DCE"/>
    <w:rsid w:val="008906CF"/>
    <w:rsid w:val="008909E3"/>
    <w:rsid w:val="00891596"/>
    <w:rsid w:val="00891A7D"/>
    <w:rsid w:val="0089287D"/>
    <w:rsid w:val="00892BC1"/>
    <w:rsid w:val="00892C03"/>
    <w:rsid w:val="00892FC6"/>
    <w:rsid w:val="00893FBE"/>
    <w:rsid w:val="00895C41"/>
    <w:rsid w:val="00897C57"/>
    <w:rsid w:val="00897D93"/>
    <w:rsid w:val="008A0665"/>
    <w:rsid w:val="008A0DE4"/>
    <w:rsid w:val="008A0E9C"/>
    <w:rsid w:val="008A1708"/>
    <w:rsid w:val="008A1A6F"/>
    <w:rsid w:val="008A2625"/>
    <w:rsid w:val="008A2A5A"/>
    <w:rsid w:val="008A2BCD"/>
    <w:rsid w:val="008A2BF6"/>
    <w:rsid w:val="008A3062"/>
    <w:rsid w:val="008A31FC"/>
    <w:rsid w:val="008A33FF"/>
    <w:rsid w:val="008A3EAD"/>
    <w:rsid w:val="008A468B"/>
    <w:rsid w:val="008A4801"/>
    <w:rsid w:val="008A497C"/>
    <w:rsid w:val="008A498A"/>
    <w:rsid w:val="008A4A78"/>
    <w:rsid w:val="008A5464"/>
    <w:rsid w:val="008A5C54"/>
    <w:rsid w:val="008A7607"/>
    <w:rsid w:val="008A7B29"/>
    <w:rsid w:val="008B023F"/>
    <w:rsid w:val="008B0882"/>
    <w:rsid w:val="008B13D1"/>
    <w:rsid w:val="008B1753"/>
    <w:rsid w:val="008B191A"/>
    <w:rsid w:val="008B1F53"/>
    <w:rsid w:val="008B20BC"/>
    <w:rsid w:val="008B2791"/>
    <w:rsid w:val="008B2A85"/>
    <w:rsid w:val="008B3002"/>
    <w:rsid w:val="008B3187"/>
    <w:rsid w:val="008B3B6A"/>
    <w:rsid w:val="008B43C2"/>
    <w:rsid w:val="008B4480"/>
    <w:rsid w:val="008B45F5"/>
    <w:rsid w:val="008B481C"/>
    <w:rsid w:val="008B4989"/>
    <w:rsid w:val="008B4AF7"/>
    <w:rsid w:val="008B5256"/>
    <w:rsid w:val="008B59B1"/>
    <w:rsid w:val="008B6A40"/>
    <w:rsid w:val="008B7171"/>
    <w:rsid w:val="008B735E"/>
    <w:rsid w:val="008B742B"/>
    <w:rsid w:val="008B76A9"/>
    <w:rsid w:val="008B7711"/>
    <w:rsid w:val="008B792B"/>
    <w:rsid w:val="008B7A80"/>
    <w:rsid w:val="008B7D29"/>
    <w:rsid w:val="008C003B"/>
    <w:rsid w:val="008C01E7"/>
    <w:rsid w:val="008C036D"/>
    <w:rsid w:val="008C0B65"/>
    <w:rsid w:val="008C0B9A"/>
    <w:rsid w:val="008C0FA8"/>
    <w:rsid w:val="008C2962"/>
    <w:rsid w:val="008C3211"/>
    <w:rsid w:val="008C32DF"/>
    <w:rsid w:val="008C3DCA"/>
    <w:rsid w:val="008C3FBA"/>
    <w:rsid w:val="008C4546"/>
    <w:rsid w:val="008C4584"/>
    <w:rsid w:val="008C47BF"/>
    <w:rsid w:val="008C50F2"/>
    <w:rsid w:val="008C516E"/>
    <w:rsid w:val="008C585D"/>
    <w:rsid w:val="008C5F0E"/>
    <w:rsid w:val="008C6874"/>
    <w:rsid w:val="008C6BA0"/>
    <w:rsid w:val="008C6BE3"/>
    <w:rsid w:val="008C7C95"/>
    <w:rsid w:val="008D01E6"/>
    <w:rsid w:val="008D0449"/>
    <w:rsid w:val="008D0AA0"/>
    <w:rsid w:val="008D1484"/>
    <w:rsid w:val="008D20E3"/>
    <w:rsid w:val="008D2B20"/>
    <w:rsid w:val="008D2C93"/>
    <w:rsid w:val="008D2F7F"/>
    <w:rsid w:val="008D2F84"/>
    <w:rsid w:val="008D38BC"/>
    <w:rsid w:val="008D3BD3"/>
    <w:rsid w:val="008D3C1C"/>
    <w:rsid w:val="008D4ABC"/>
    <w:rsid w:val="008D4FC6"/>
    <w:rsid w:val="008D5143"/>
    <w:rsid w:val="008D53E0"/>
    <w:rsid w:val="008D5C2A"/>
    <w:rsid w:val="008D5EF8"/>
    <w:rsid w:val="008D5FED"/>
    <w:rsid w:val="008D63D5"/>
    <w:rsid w:val="008D658A"/>
    <w:rsid w:val="008D760A"/>
    <w:rsid w:val="008D76CF"/>
    <w:rsid w:val="008D793A"/>
    <w:rsid w:val="008D794E"/>
    <w:rsid w:val="008E055D"/>
    <w:rsid w:val="008E1946"/>
    <w:rsid w:val="008E2624"/>
    <w:rsid w:val="008E2B07"/>
    <w:rsid w:val="008E4AAE"/>
    <w:rsid w:val="008E4C2C"/>
    <w:rsid w:val="008E5635"/>
    <w:rsid w:val="008E5B2B"/>
    <w:rsid w:val="008E6264"/>
    <w:rsid w:val="008E6733"/>
    <w:rsid w:val="008E69F1"/>
    <w:rsid w:val="008E6B1B"/>
    <w:rsid w:val="008E7257"/>
    <w:rsid w:val="008E7A52"/>
    <w:rsid w:val="008E7DBF"/>
    <w:rsid w:val="008F00A6"/>
    <w:rsid w:val="008F0417"/>
    <w:rsid w:val="008F0452"/>
    <w:rsid w:val="008F0FE7"/>
    <w:rsid w:val="008F1078"/>
    <w:rsid w:val="008F155D"/>
    <w:rsid w:val="008F249F"/>
    <w:rsid w:val="008F2B4B"/>
    <w:rsid w:val="008F32F9"/>
    <w:rsid w:val="008F3413"/>
    <w:rsid w:val="008F3634"/>
    <w:rsid w:val="008F3673"/>
    <w:rsid w:val="008F37D5"/>
    <w:rsid w:val="008F3839"/>
    <w:rsid w:val="008F5024"/>
    <w:rsid w:val="008F5131"/>
    <w:rsid w:val="008F5387"/>
    <w:rsid w:val="008F5537"/>
    <w:rsid w:val="008F5BA9"/>
    <w:rsid w:val="008F6102"/>
    <w:rsid w:val="008F6359"/>
    <w:rsid w:val="008F6628"/>
    <w:rsid w:val="008F68EC"/>
    <w:rsid w:val="008F6FDF"/>
    <w:rsid w:val="008F766C"/>
    <w:rsid w:val="0090038D"/>
    <w:rsid w:val="00900A66"/>
    <w:rsid w:val="009015E3"/>
    <w:rsid w:val="0090342D"/>
    <w:rsid w:val="009036B9"/>
    <w:rsid w:val="00903C3F"/>
    <w:rsid w:val="00904498"/>
    <w:rsid w:val="00904D82"/>
    <w:rsid w:val="009056B9"/>
    <w:rsid w:val="00905710"/>
    <w:rsid w:val="00905D6E"/>
    <w:rsid w:val="00905E85"/>
    <w:rsid w:val="00906001"/>
    <w:rsid w:val="009064F9"/>
    <w:rsid w:val="00906C3C"/>
    <w:rsid w:val="00906E7C"/>
    <w:rsid w:val="0091040F"/>
    <w:rsid w:val="009105BD"/>
    <w:rsid w:val="00910E84"/>
    <w:rsid w:val="00910ED2"/>
    <w:rsid w:val="00911403"/>
    <w:rsid w:val="00911A0A"/>
    <w:rsid w:val="00912151"/>
    <w:rsid w:val="009126FC"/>
    <w:rsid w:val="00912D84"/>
    <w:rsid w:val="0091391F"/>
    <w:rsid w:val="00913A3D"/>
    <w:rsid w:val="00913CEB"/>
    <w:rsid w:val="00913D01"/>
    <w:rsid w:val="00913E44"/>
    <w:rsid w:val="00913F55"/>
    <w:rsid w:val="009141E7"/>
    <w:rsid w:val="0091489D"/>
    <w:rsid w:val="00914BB5"/>
    <w:rsid w:val="009165D8"/>
    <w:rsid w:val="00916FD7"/>
    <w:rsid w:val="00916FD8"/>
    <w:rsid w:val="00917951"/>
    <w:rsid w:val="009200D7"/>
    <w:rsid w:val="009210F1"/>
    <w:rsid w:val="00921148"/>
    <w:rsid w:val="009214EC"/>
    <w:rsid w:val="0092292E"/>
    <w:rsid w:val="00923663"/>
    <w:rsid w:val="009238BC"/>
    <w:rsid w:val="009241AE"/>
    <w:rsid w:val="009246D2"/>
    <w:rsid w:val="00924826"/>
    <w:rsid w:val="009251DA"/>
    <w:rsid w:val="00925612"/>
    <w:rsid w:val="009256DB"/>
    <w:rsid w:val="0092626B"/>
    <w:rsid w:val="009266C3"/>
    <w:rsid w:val="0092697A"/>
    <w:rsid w:val="00926A41"/>
    <w:rsid w:val="00926CCE"/>
    <w:rsid w:val="00927920"/>
    <w:rsid w:val="009305F8"/>
    <w:rsid w:val="00930C25"/>
    <w:rsid w:val="00930D64"/>
    <w:rsid w:val="00931062"/>
    <w:rsid w:val="009310A3"/>
    <w:rsid w:val="00931C27"/>
    <w:rsid w:val="00932BBE"/>
    <w:rsid w:val="0093357B"/>
    <w:rsid w:val="009336BC"/>
    <w:rsid w:val="00933CFA"/>
    <w:rsid w:val="00934729"/>
    <w:rsid w:val="00934F11"/>
    <w:rsid w:val="00935311"/>
    <w:rsid w:val="009354C3"/>
    <w:rsid w:val="00936D13"/>
    <w:rsid w:val="0093771B"/>
    <w:rsid w:val="00940832"/>
    <w:rsid w:val="0094098B"/>
    <w:rsid w:val="009411B9"/>
    <w:rsid w:val="009417D9"/>
    <w:rsid w:val="0094181E"/>
    <w:rsid w:val="00941F57"/>
    <w:rsid w:val="00942007"/>
    <w:rsid w:val="009421A3"/>
    <w:rsid w:val="009421A8"/>
    <w:rsid w:val="00942995"/>
    <w:rsid w:val="0094315F"/>
    <w:rsid w:val="00943364"/>
    <w:rsid w:val="00943B7F"/>
    <w:rsid w:val="00944208"/>
    <w:rsid w:val="00944E99"/>
    <w:rsid w:val="0094584E"/>
    <w:rsid w:val="00945E0D"/>
    <w:rsid w:val="009461E8"/>
    <w:rsid w:val="00946317"/>
    <w:rsid w:val="009466ED"/>
    <w:rsid w:val="0094677F"/>
    <w:rsid w:val="00946A09"/>
    <w:rsid w:val="00946F72"/>
    <w:rsid w:val="00947744"/>
    <w:rsid w:val="0094783C"/>
    <w:rsid w:val="00947AC4"/>
    <w:rsid w:val="00947B03"/>
    <w:rsid w:val="00947E22"/>
    <w:rsid w:val="00947E31"/>
    <w:rsid w:val="009502D4"/>
    <w:rsid w:val="00950D2B"/>
    <w:rsid w:val="00950E47"/>
    <w:rsid w:val="00950ED4"/>
    <w:rsid w:val="00951017"/>
    <w:rsid w:val="0095138B"/>
    <w:rsid w:val="0095155A"/>
    <w:rsid w:val="009521BB"/>
    <w:rsid w:val="009527D6"/>
    <w:rsid w:val="00952B01"/>
    <w:rsid w:val="00952B30"/>
    <w:rsid w:val="00952D14"/>
    <w:rsid w:val="00953697"/>
    <w:rsid w:val="00953BC2"/>
    <w:rsid w:val="00953E7C"/>
    <w:rsid w:val="009544B5"/>
    <w:rsid w:val="00954FEE"/>
    <w:rsid w:val="0095556B"/>
    <w:rsid w:val="0095592C"/>
    <w:rsid w:val="00955EF5"/>
    <w:rsid w:val="009561AE"/>
    <w:rsid w:val="00956CB2"/>
    <w:rsid w:val="00957340"/>
    <w:rsid w:val="009574FF"/>
    <w:rsid w:val="00957A13"/>
    <w:rsid w:val="009602BA"/>
    <w:rsid w:val="009618C6"/>
    <w:rsid w:val="00962357"/>
    <w:rsid w:val="0096263D"/>
    <w:rsid w:val="009627EA"/>
    <w:rsid w:val="009630A8"/>
    <w:rsid w:val="009630B7"/>
    <w:rsid w:val="00963249"/>
    <w:rsid w:val="00963293"/>
    <w:rsid w:val="00963383"/>
    <w:rsid w:val="00963625"/>
    <w:rsid w:val="00964201"/>
    <w:rsid w:val="00964589"/>
    <w:rsid w:val="00965F70"/>
    <w:rsid w:val="0096622A"/>
    <w:rsid w:val="0096662D"/>
    <w:rsid w:val="00966949"/>
    <w:rsid w:val="009706CE"/>
    <w:rsid w:val="00970A30"/>
    <w:rsid w:val="00970B08"/>
    <w:rsid w:val="00971885"/>
    <w:rsid w:val="00971DAA"/>
    <w:rsid w:val="00971F6A"/>
    <w:rsid w:val="009723AC"/>
    <w:rsid w:val="00972675"/>
    <w:rsid w:val="0097357A"/>
    <w:rsid w:val="0097366A"/>
    <w:rsid w:val="00973693"/>
    <w:rsid w:val="00973ABA"/>
    <w:rsid w:val="0097403B"/>
    <w:rsid w:val="009741B0"/>
    <w:rsid w:val="009742A8"/>
    <w:rsid w:val="00974B5C"/>
    <w:rsid w:val="00974C0D"/>
    <w:rsid w:val="00975958"/>
    <w:rsid w:val="009761E9"/>
    <w:rsid w:val="009762A7"/>
    <w:rsid w:val="00976CFA"/>
    <w:rsid w:val="00976DE5"/>
    <w:rsid w:val="00976EE6"/>
    <w:rsid w:val="00977BBB"/>
    <w:rsid w:val="00980103"/>
    <w:rsid w:val="0098030F"/>
    <w:rsid w:val="00980D5F"/>
    <w:rsid w:val="00980D84"/>
    <w:rsid w:val="009814BA"/>
    <w:rsid w:val="00981507"/>
    <w:rsid w:val="00981785"/>
    <w:rsid w:val="009819AD"/>
    <w:rsid w:val="00981A20"/>
    <w:rsid w:val="00981AC7"/>
    <w:rsid w:val="00981B2D"/>
    <w:rsid w:val="00981F5A"/>
    <w:rsid w:val="00982721"/>
    <w:rsid w:val="0098279C"/>
    <w:rsid w:val="00982C7E"/>
    <w:rsid w:val="00983408"/>
    <w:rsid w:val="00983432"/>
    <w:rsid w:val="00983F75"/>
    <w:rsid w:val="00984989"/>
    <w:rsid w:val="00985BBB"/>
    <w:rsid w:val="00985DB4"/>
    <w:rsid w:val="0098643C"/>
    <w:rsid w:val="00986486"/>
    <w:rsid w:val="0098657E"/>
    <w:rsid w:val="0098733C"/>
    <w:rsid w:val="009877CC"/>
    <w:rsid w:val="00990843"/>
    <w:rsid w:val="00990B65"/>
    <w:rsid w:val="00990CA0"/>
    <w:rsid w:val="00991320"/>
    <w:rsid w:val="0099134D"/>
    <w:rsid w:val="00991D6F"/>
    <w:rsid w:val="009924F5"/>
    <w:rsid w:val="00992722"/>
    <w:rsid w:val="009927DD"/>
    <w:rsid w:val="009929E7"/>
    <w:rsid w:val="00992AA7"/>
    <w:rsid w:val="00992BE6"/>
    <w:rsid w:val="009930AC"/>
    <w:rsid w:val="009942B8"/>
    <w:rsid w:val="00994437"/>
    <w:rsid w:val="0099493D"/>
    <w:rsid w:val="00994B50"/>
    <w:rsid w:val="00994EC0"/>
    <w:rsid w:val="00995ADE"/>
    <w:rsid w:val="00995D66"/>
    <w:rsid w:val="00996395"/>
    <w:rsid w:val="00996643"/>
    <w:rsid w:val="009967B9"/>
    <w:rsid w:val="00996865"/>
    <w:rsid w:val="0099695C"/>
    <w:rsid w:val="00996AE0"/>
    <w:rsid w:val="00996E33"/>
    <w:rsid w:val="009971B4"/>
    <w:rsid w:val="009978AF"/>
    <w:rsid w:val="009A0F24"/>
    <w:rsid w:val="009A1029"/>
    <w:rsid w:val="009A1C9A"/>
    <w:rsid w:val="009A1FF8"/>
    <w:rsid w:val="009A253B"/>
    <w:rsid w:val="009A2948"/>
    <w:rsid w:val="009A294C"/>
    <w:rsid w:val="009A31B1"/>
    <w:rsid w:val="009A3480"/>
    <w:rsid w:val="009A39F1"/>
    <w:rsid w:val="009A3A7B"/>
    <w:rsid w:val="009A48CF"/>
    <w:rsid w:val="009A61AD"/>
    <w:rsid w:val="009A6422"/>
    <w:rsid w:val="009A6591"/>
    <w:rsid w:val="009A66A4"/>
    <w:rsid w:val="009A67C0"/>
    <w:rsid w:val="009A6B12"/>
    <w:rsid w:val="009A6C65"/>
    <w:rsid w:val="009A749C"/>
    <w:rsid w:val="009A7659"/>
    <w:rsid w:val="009A7EC1"/>
    <w:rsid w:val="009B004E"/>
    <w:rsid w:val="009B1330"/>
    <w:rsid w:val="009B1CFF"/>
    <w:rsid w:val="009B38C9"/>
    <w:rsid w:val="009B3A08"/>
    <w:rsid w:val="009B3F15"/>
    <w:rsid w:val="009B438F"/>
    <w:rsid w:val="009B447C"/>
    <w:rsid w:val="009B48F7"/>
    <w:rsid w:val="009B4D24"/>
    <w:rsid w:val="009B4E97"/>
    <w:rsid w:val="009B54D7"/>
    <w:rsid w:val="009B5970"/>
    <w:rsid w:val="009B61DB"/>
    <w:rsid w:val="009B63CE"/>
    <w:rsid w:val="009B643F"/>
    <w:rsid w:val="009B66F9"/>
    <w:rsid w:val="009B6C76"/>
    <w:rsid w:val="009B6D5F"/>
    <w:rsid w:val="009B709D"/>
    <w:rsid w:val="009B7AA6"/>
    <w:rsid w:val="009B7C06"/>
    <w:rsid w:val="009C00BC"/>
    <w:rsid w:val="009C0EA5"/>
    <w:rsid w:val="009C25C2"/>
    <w:rsid w:val="009C379B"/>
    <w:rsid w:val="009C37DD"/>
    <w:rsid w:val="009C3DB0"/>
    <w:rsid w:val="009C3E70"/>
    <w:rsid w:val="009C4E6F"/>
    <w:rsid w:val="009C50B5"/>
    <w:rsid w:val="009C5B68"/>
    <w:rsid w:val="009C5ED8"/>
    <w:rsid w:val="009C6264"/>
    <w:rsid w:val="009C6FFF"/>
    <w:rsid w:val="009C73EB"/>
    <w:rsid w:val="009C7D9C"/>
    <w:rsid w:val="009D0007"/>
    <w:rsid w:val="009D03BC"/>
    <w:rsid w:val="009D1487"/>
    <w:rsid w:val="009D1D62"/>
    <w:rsid w:val="009D1DC6"/>
    <w:rsid w:val="009D2270"/>
    <w:rsid w:val="009D2527"/>
    <w:rsid w:val="009D32F4"/>
    <w:rsid w:val="009D370A"/>
    <w:rsid w:val="009D3F70"/>
    <w:rsid w:val="009D3FA8"/>
    <w:rsid w:val="009D43A0"/>
    <w:rsid w:val="009D4D57"/>
    <w:rsid w:val="009D4F00"/>
    <w:rsid w:val="009D53F0"/>
    <w:rsid w:val="009D5424"/>
    <w:rsid w:val="009D54A9"/>
    <w:rsid w:val="009D57C2"/>
    <w:rsid w:val="009D6494"/>
    <w:rsid w:val="009D6512"/>
    <w:rsid w:val="009D7B06"/>
    <w:rsid w:val="009E037F"/>
    <w:rsid w:val="009E03A4"/>
    <w:rsid w:val="009E03E6"/>
    <w:rsid w:val="009E2232"/>
    <w:rsid w:val="009E2250"/>
    <w:rsid w:val="009E36EE"/>
    <w:rsid w:val="009E3AEA"/>
    <w:rsid w:val="009E4358"/>
    <w:rsid w:val="009E4776"/>
    <w:rsid w:val="009E4A73"/>
    <w:rsid w:val="009E501F"/>
    <w:rsid w:val="009E536C"/>
    <w:rsid w:val="009E54F4"/>
    <w:rsid w:val="009E56E2"/>
    <w:rsid w:val="009E5D18"/>
    <w:rsid w:val="009E60A7"/>
    <w:rsid w:val="009E60AF"/>
    <w:rsid w:val="009E6827"/>
    <w:rsid w:val="009E6D74"/>
    <w:rsid w:val="009E6D9F"/>
    <w:rsid w:val="009E70B0"/>
    <w:rsid w:val="009E7561"/>
    <w:rsid w:val="009F0303"/>
    <w:rsid w:val="009F040C"/>
    <w:rsid w:val="009F0754"/>
    <w:rsid w:val="009F0B0D"/>
    <w:rsid w:val="009F1096"/>
    <w:rsid w:val="009F1278"/>
    <w:rsid w:val="009F1A5A"/>
    <w:rsid w:val="009F274A"/>
    <w:rsid w:val="009F2A35"/>
    <w:rsid w:val="009F2FD2"/>
    <w:rsid w:val="009F3185"/>
    <w:rsid w:val="009F3597"/>
    <w:rsid w:val="009F37E6"/>
    <w:rsid w:val="009F38B6"/>
    <w:rsid w:val="009F3F18"/>
    <w:rsid w:val="009F4458"/>
    <w:rsid w:val="009F4F16"/>
    <w:rsid w:val="009F50B8"/>
    <w:rsid w:val="009F5372"/>
    <w:rsid w:val="009F5E88"/>
    <w:rsid w:val="009F63CE"/>
    <w:rsid w:val="009F7983"/>
    <w:rsid w:val="009F7D80"/>
    <w:rsid w:val="00A0011C"/>
    <w:rsid w:val="00A00234"/>
    <w:rsid w:val="00A016FD"/>
    <w:rsid w:val="00A02002"/>
    <w:rsid w:val="00A02054"/>
    <w:rsid w:val="00A02764"/>
    <w:rsid w:val="00A02F31"/>
    <w:rsid w:val="00A03011"/>
    <w:rsid w:val="00A0370F"/>
    <w:rsid w:val="00A03795"/>
    <w:rsid w:val="00A03B8C"/>
    <w:rsid w:val="00A03BC9"/>
    <w:rsid w:val="00A03C48"/>
    <w:rsid w:val="00A03E6F"/>
    <w:rsid w:val="00A04406"/>
    <w:rsid w:val="00A05405"/>
    <w:rsid w:val="00A054E5"/>
    <w:rsid w:val="00A055AE"/>
    <w:rsid w:val="00A05671"/>
    <w:rsid w:val="00A059B5"/>
    <w:rsid w:val="00A05A21"/>
    <w:rsid w:val="00A05AB7"/>
    <w:rsid w:val="00A06280"/>
    <w:rsid w:val="00A06856"/>
    <w:rsid w:val="00A07043"/>
    <w:rsid w:val="00A074E0"/>
    <w:rsid w:val="00A076F7"/>
    <w:rsid w:val="00A076FE"/>
    <w:rsid w:val="00A07B4F"/>
    <w:rsid w:val="00A10426"/>
    <w:rsid w:val="00A10782"/>
    <w:rsid w:val="00A10EFF"/>
    <w:rsid w:val="00A1121C"/>
    <w:rsid w:val="00A1174F"/>
    <w:rsid w:val="00A11B32"/>
    <w:rsid w:val="00A11F03"/>
    <w:rsid w:val="00A12123"/>
    <w:rsid w:val="00A12457"/>
    <w:rsid w:val="00A12732"/>
    <w:rsid w:val="00A13CB9"/>
    <w:rsid w:val="00A145CC"/>
    <w:rsid w:val="00A14AC3"/>
    <w:rsid w:val="00A14D24"/>
    <w:rsid w:val="00A15574"/>
    <w:rsid w:val="00A15EF7"/>
    <w:rsid w:val="00A15FA5"/>
    <w:rsid w:val="00A1666F"/>
    <w:rsid w:val="00A1716B"/>
    <w:rsid w:val="00A17697"/>
    <w:rsid w:val="00A17ACD"/>
    <w:rsid w:val="00A17DC2"/>
    <w:rsid w:val="00A17EAD"/>
    <w:rsid w:val="00A2069F"/>
    <w:rsid w:val="00A209C0"/>
    <w:rsid w:val="00A20F9F"/>
    <w:rsid w:val="00A20FF2"/>
    <w:rsid w:val="00A23101"/>
    <w:rsid w:val="00A23298"/>
    <w:rsid w:val="00A232D8"/>
    <w:rsid w:val="00A23402"/>
    <w:rsid w:val="00A23EBC"/>
    <w:rsid w:val="00A23EC0"/>
    <w:rsid w:val="00A23F07"/>
    <w:rsid w:val="00A241F1"/>
    <w:rsid w:val="00A24521"/>
    <w:rsid w:val="00A246B9"/>
    <w:rsid w:val="00A249D8"/>
    <w:rsid w:val="00A24FF2"/>
    <w:rsid w:val="00A25034"/>
    <w:rsid w:val="00A2558B"/>
    <w:rsid w:val="00A255A3"/>
    <w:rsid w:val="00A25F71"/>
    <w:rsid w:val="00A25FB2"/>
    <w:rsid w:val="00A26170"/>
    <w:rsid w:val="00A264FF"/>
    <w:rsid w:val="00A2679E"/>
    <w:rsid w:val="00A26E2F"/>
    <w:rsid w:val="00A26F4D"/>
    <w:rsid w:val="00A271AB"/>
    <w:rsid w:val="00A278D8"/>
    <w:rsid w:val="00A27FF1"/>
    <w:rsid w:val="00A301A7"/>
    <w:rsid w:val="00A30322"/>
    <w:rsid w:val="00A308AC"/>
    <w:rsid w:val="00A309EB"/>
    <w:rsid w:val="00A30BB3"/>
    <w:rsid w:val="00A30CA4"/>
    <w:rsid w:val="00A30F92"/>
    <w:rsid w:val="00A31737"/>
    <w:rsid w:val="00A31836"/>
    <w:rsid w:val="00A31C55"/>
    <w:rsid w:val="00A31D4B"/>
    <w:rsid w:val="00A32515"/>
    <w:rsid w:val="00A327AC"/>
    <w:rsid w:val="00A32824"/>
    <w:rsid w:val="00A32D1B"/>
    <w:rsid w:val="00A32E5C"/>
    <w:rsid w:val="00A33124"/>
    <w:rsid w:val="00A3340D"/>
    <w:rsid w:val="00A33499"/>
    <w:rsid w:val="00A33B09"/>
    <w:rsid w:val="00A341DB"/>
    <w:rsid w:val="00A34786"/>
    <w:rsid w:val="00A349E1"/>
    <w:rsid w:val="00A34A64"/>
    <w:rsid w:val="00A35CB0"/>
    <w:rsid w:val="00A36107"/>
    <w:rsid w:val="00A362C7"/>
    <w:rsid w:val="00A36826"/>
    <w:rsid w:val="00A369BE"/>
    <w:rsid w:val="00A3756A"/>
    <w:rsid w:val="00A37670"/>
    <w:rsid w:val="00A37F8B"/>
    <w:rsid w:val="00A37FA2"/>
    <w:rsid w:val="00A40120"/>
    <w:rsid w:val="00A407F1"/>
    <w:rsid w:val="00A40B66"/>
    <w:rsid w:val="00A413A5"/>
    <w:rsid w:val="00A414C4"/>
    <w:rsid w:val="00A414D4"/>
    <w:rsid w:val="00A41823"/>
    <w:rsid w:val="00A41B42"/>
    <w:rsid w:val="00A41EDE"/>
    <w:rsid w:val="00A42371"/>
    <w:rsid w:val="00A4241C"/>
    <w:rsid w:val="00A42982"/>
    <w:rsid w:val="00A4304A"/>
    <w:rsid w:val="00A43085"/>
    <w:rsid w:val="00A432B3"/>
    <w:rsid w:val="00A43E70"/>
    <w:rsid w:val="00A4401F"/>
    <w:rsid w:val="00A4553D"/>
    <w:rsid w:val="00A459A9"/>
    <w:rsid w:val="00A45A36"/>
    <w:rsid w:val="00A45F96"/>
    <w:rsid w:val="00A4620E"/>
    <w:rsid w:val="00A466F2"/>
    <w:rsid w:val="00A46846"/>
    <w:rsid w:val="00A46D3C"/>
    <w:rsid w:val="00A46E8E"/>
    <w:rsid w:val="00A47C79"/>
    <w:rsid w:val="00A50287"/>
    <w:rsid w:val="00A5092C"/>
    <w:rsid w:val="00A50C8E"/>
    <w:rsid w:val="00A50D8C"/>
    <w:rsid w:val="00A51388"/>
    <w:rsid w:val="00A5181C"/>
    <w:rsid w:val="00A51F91"/>
    <w:rsid w:val="00A52212"/>
    <w:rsid w:val="00A52252"/>
    <w:rsid w:val="00A5277C"/>
    <w:rsid w:val="00A52AA9"/>
    <w:rsid w:val="00A52DFF"/>
    <w:rsid w:val="00A530A9"/>
    <w:rsid w:val="00A530B1"/>
    <w:rsid w:val="00A5389F"/>
    <w:rsid w:val="00A54883"/>
    <w:rsid w:val="00A54E27"/>
    <w:rsid w:val="00A5617B"/>
    <w:rsid w:val="00A5663D"/>
    <w:rsid w:val="00A577B0"/>
    <w:rsid w:val="00A57DD7"/>
    <w:rsid w:val="00A57ED4"/>
    <w:rsid w:val="00A6100A"/>
    <w:rsid w:val="00A617EC"/>
    <w:rsid w:val="00A63496"/>
    <w:rsid w:val="00A6381E"/>
    <w:rsid w:val="00A63A52"/>
    <w:rsid w:val="00A63B77"/>
    <w:rsid w:val="00A63FAA"/>
    <w:rsid w:val="00A645FD"/>
    <w:rsid w:val="00A646B1"/>
    <w:rsid w:val="00A646F3"/>
    <w:rsid w:val="00A64D36"/>
    <w:rsid w:val="00A650CF"/>
    <w:rsid w:val="00A653BF"/>
    <w:rsid w:val="00A65F76"/>
    <w:rsid w:val="00A664FE"/>
    <w:rsid w:val="00A66688"/>
    <w:rsid w:val="00A66A5D"/>
    <w:rsid w:val="00A66D97"/>
    <w:rsid w:val="00A670CE"/>
    <w:rsid w:val="00A67254"/>
    <w:rsid w:val="00A6745E"/>
    <w:rsid w:val="00A67AFC"/>
    <w:rsid w:val="00A67E1E"/>
    <w:rsid w:val="00A702B6"/>
    <w:rsid w:val="00A706F6"/>
    <w:rsid w:val="00A707C7"/>
    <w:rsid w:val="00A708B9"/>
    <w:rsid w:val="00A7093C"/>
    <w:rsid w:val="00A70F98"/>
    <w:rsid w:val="00A71184"/>
    <w:rsid w:val="00A71327"/>
    <w:rsid w:val="00A7132E"/>
    <w:rsid w:val="00A718A6"/>
    <w:rsid w:val="00A7246D"/>
    <w:rsid w:val="00A73277"/>
    <w:rsid w:val="00A732A4"/>
    <w:rsid w:val="00A7449A"/>
    <w:rsid w:val="00A7483B"/>
    <w:rsid w:val="00A749DA"/>
    <w:rsid w:val="00A74CF4"/>
    <w:rsid w:val="00A7501B"/>
    <w:rsid w:val="00A75816"/>
    <w:rsid w:val="00A75B95"/>
    <w:rsid w:val="00A76726"/>
    <w:rsid w:val="00A779EC"/>
    <w:rsid w:val="00A77CE4"/>
    <w:rsid w:val="00A77FD2"/>
    <w:rsid w:val="00A80024"/>
    <w:rsid w:val="00A8185E"/>
    <w:rsid w:val="00A81E0C"/>
    <w:rsid w:val="00A81FD3"/>
    <w:rsid w:val="00A8271C"/>
    <w:rsid w:val="00A83424"/>
    <w:rsid w:val="00A839E2"/>
    <w:rsid w:val="00A83CF6"/>
    <w:rsid w:val="00A847CD"/>
    <w:rsid w:val="00A84A21"/>
    <w:rsid w:val="00A84B4C"/>
    <w:rsid w:val="00A84EBB"/>
    <w:rsid w:val="00A8518F"/>
    <w:rsid w:val="00A8564C"/>
    <w:rsid w:val="00A8578C"/>
    <w:rsid w:val="00A863FA"/>
    <w:rsid w:val="00A86552"/>
    <w:rsid w:val="00A86B6E"/>
    <w:rsid w:val="00A877C0"/>
    <w:rsid w:val="00A87B25"/>
    <w:rsid w:val="00A87EE6"/>
    <w:rsid w:val="00A905A6"/>
    <w:rsid w:val="00A90B7D"/>
    <w:rsid w:val="00A9107B"/>
    <w:rsid w:val="00A919A2"/>
    <w:rsid w:val="00A91C93"/>
    <w:rsid w:val="00A9250B"/>
    <w:rsid w:val="00A93083"/>
    <w:rsid w:val="00A93CE3"/>
    <w:rsid w:val="00A94530"/>
    <w:rsid w:val="00A947F5"/>
    <w:rsid w:val="00A94AAE"/>
    <w:rsid w:val="00A94C1C"/>
    <w:rsid w:val="00A94CD4"/>
    <w:rsid w:val="00A95D3F"/>
    <w:rsid w:val="00A95DFD"/>
    <w:rsid w:val="00A96233"/>
    <w:rsid w:val="00A974D7"/>
    <w:rsid w:val="00A97B20"/>
    <w:rsid w:val="00A97B96"/>
    <w:rsid w:val="00AA09AC"/>
    <w:rsid w:val="00AA1027"/>
    <w:rsid w:val="00AA10A9"/>
    <w:rsid w:val="00AA15DE"/>
    <w:rsid w:val="00AA1613"/>
    <w:rsid w:val="00AA195E"/>
    <w:rsid w:val="00AA1ECA"/>
    <w:rsid w:val="00AA295E"/>
    <w:rsid w:val="00AA2BF7"/>
    <w:rsid w:val="00AA2C32"/>
    <w:rsid w:val="00AA3060"/>
    <w:rsid w:val="00AA433D"/>
    <w:rsid w:val="00AA4497"/>
    <w:rsid w:val="00AA489C"/>
    <w:rsid w:val="00AA4AA3"/>
    <w:rsid w:val="00AA4BAE"/>
    <w:rsid w:val="00AA4DB8"/>
    <w:rsid w:val="00AA4FC4"/>
    <w:rsid w:val="00AA5095"/>
    <w:rsid w:val="00AA5238"/>
    <w:rsid w:val="00AA54FB"/>
    <w:rsid w:val="00AA5BCA"/>
    <w:rsid w:val="00AA5FA3"/>
    <w:rsid w:val="00AA63E3"/>
    <w:rsid w:val="00AA715D"/>
    <w:rsid w:val="00AA71B3"/>
    <w:rsid w:val="00AA7F6F"/>
    <w:rsid w:val="00AB03CD"/>
    <w:rsid w:val="00AB1D46"/>
    <w:rsid w:val="00AB2591"/>
    <w:rsid w:val="00AB2E10"/>
    <w:rsid w:val="00AB31FB"/>
    <w:rsid w:val="00AB348D"/>
    <w:rsid w:val="00AB353F"/>
    <w:rsid w:val="00AB35D5"/>
    <w:rsid w:val="00AB4056"/>
    <w:rsid w:val="00AB40B5"/>
    <w:rsid w:val="00AB4294"/>
    <w:rsid w:val="00AB434F"/>
    <w:rsid w:val="00AB4CEA"/>
    <w:rsid w:val="00AB5249"/>
    <w:rsid w:val="00AB5544"/>
    <w:rsid w:val="00AB56A6"/>
    <w:rsid w:val="00AB621C"/>
    <w:rsid w:val="00AB643B"/>
    <w:rsid w:val="00AB65FE"/>
    <w:rsid w:val="00AB774A"/>
    <w:rsid w:val="00AC039F"/>
    <w:rsid w:val="00AC1129"/>
    <w:rsid w:val="00AC12F0"/>
    <w:rsid w:val="00AC1933"/>
    <w:rsid w:val="00AC1B36"/>
    <w:rsid w:val="00AC1D93"/>
    <w:rsid w:val="00AC2062"/>
    <w:rsid w:val="00AC237A"/>
    <w:rsid w:val="00AC24BA"/>
    <w:rsid w:val="00AC33D0"/>
    <w:rsid w:val="00AC35B2"/>
    <w:rsid w:val="00AC36C6"/>
    <w:rsid w:val="00AC3C3F"/>
    <w:rsid w:val="00AC3EB9"/>
    <w:rsid w:val="00AC3F0A"/>
    <w:rsid w:val="00AC4246"/>
    <w:rsid w:val="00AC4813"/>
    <w:rsid w:val="00AC4ABC"/>
    <w:rsid w:val="00AC4E02"/>
    <w:rsid w:val="00AC5EB8"/>
    <w:rsid w:val="00AC666F"/>
    <w:rsid w:val="00AC67C6"/>
    <w:rsid w:val="00AC7364"/>
    <w:rsid w:val="00AC79EF"/>
    <w:rsid w:val="00AD020E"/>
    <w:rsid w:val="00AD0A55"/>
    <w:rsid w:val="00AD0AF5"/>
    <w:rsid w:val="00AD0DEE"/>
    <w:rsid w:val="00AD104D"/>
    <w:rsid w:val="00AD198D"/>
    <w:rsid w:val="00AD2287"/>
    <w:rsid w:val="00AD2C94"/>
    <w:rsid w:val="00AD305A"/>
    <w:rsid w:val="00AD3299"/>
    <w:rsid w:val="00AD36C0"/>
    <w:rsid w:val="00AD386A"/>
    <w:rsid w:val="00AD3D63"/>
    <w:rsid w:val="00AD4185"/>
    <w:rsid w:val="00AD4221"/>
    <w:rsid w:val="00AD42C1"/>
    <w:rsid w:val="00AD4422"/>
    <w:rsid w:val="00AD49B3"/>
    <w:rsid w:val="00AD54DB"/>
    <w:rsid w:val="00AD5FB7"/>
    <w:rsid w:val="00AD6509"/>
    <w:rsid w:val="00AD6B72"/>
    <w:rsid w:val="00AD6F06"/>
    <w:rsid w:val="00AD772D"/>
    <w:rsid w:val="00AD7CD2"/>
    <w:rsid w:val="00AD7E71"/>
    <w:rsid w:val="00AE091E"/>
    <w:rsid w:val="00AE1225"/>
    <w:rsid w:val="00AE14C8"/>
    <w:rsid w:val="00AE166E"/>
    <w:rsid w:val="00AE17A4"/>
    <w:rsid w:val="00AE18D8"/>
    <w:rsid w:val="00AE199F"/>
    <w:rsid w:val="00AE35A1"/>
    <w:rsid w:val="00AE45F6"/>
    <w:rsid w:val="00AE49BA"/>
    <w:rsid w:val="00AE4C84"/>
    <w:rsid w:val="00AE4CA0"/>
    <w:rsid w:val="00AE4FD9"/>
    <w:rsid w:val="00AE58F3"/>
    <w:rsid w:val="00AE66AD"/>
    <w:rsid w:val="00AE6986"/>
    <w:rsid w:val="00AE708C"/>
    <w:rsid w:val="00AE7992"/>
    <w:rsid w:val="00AE7C59"/>
    <w:rsid w:val="00AF04E1"/>
    <w:rsid w:val="00AF100F"/>
    <w:rsid w:val="00AF1222"/>
    <w:rsid w:val="00AF1565"/>
    <w:rsid w:val="00AF199A"/>
    <w:rsid w:val="00AF2F5D"/>
    <w:rsid w:val="00AF33C8"/>
    <w:rsid w:val="00AF393B"/>
    <w:rsid w:val="00AF3B17"/>
    <w:rsid w:val="00AF40EE"/>
    <w:rsid w:val="00AF4254"/>
    <w:rsid w:val="00AF4336"/>
    <w:rsid w:val="00AF4C16"/>
    <w:rsid w:val="00AF4DA5"/>
    <w:rsid w:val="00AF4FF1"/>
    <w:rsid w:val="00AF59E7"/>
    <w:rsid w:val="00AF6944"/>
    <w:rsid w:val="00AF745B"/>
    <w:rsid w:val="00AF79F4"/>
    <w:rsid w:val="00AF7A64"/>
    <w:rsid w:val="00AF7DAA"/>
    <w:rsid w:val="00B01335"/>
    <w:rsid w:val="00B01BBC"/>
    <w:rsid w:val="00B02050"/>
    <w:rsid w:val="00B02643"/>
    <w:rsid w:val="00B03D11"/>
    <w:rsid w:val="00B046A5"/>
    <w:rsid w:val="00B0476E"/>
    <w:rsid w:val="00B04FF9"/>
    <w:rsid w:val="00B05794"/>
    <w:rsid w:val="00B05B24"/>
    <w:rsid w:val="00B05BD7"/>
    <w:rsid w:val="00B05BF0"/>
    <w:rsid w:val="00B0655A"/>
    <w:rsid w:val="00B067DB"/>
    <w:rsid w:val="00B06EE7"/>
    <w:rsid w:val="00B07512"/>
    <w:rsid w:val="00B07B54"/>
    <w:rsid w:val="00B07C33"/>
    <w:rsid w:val="00B10033"/>
    <w:rsid w:val="00B1023A"/>
    <w:rsid w:val="00B10B40"/>
    <w:rsid w:val="00B10BED"/>
    <w:rsid w:val="00B10C7D"/>
    <w:rsid w:val="00B11607"/>
    <w:rsid w:val="00B11A8F"/>
    <w:rsid w:val="00B11DD5"/>
    <w:rsid w:val="00B123DA"/>
    <w:rsid w:val="00B12940"/>
    <w:rsid w:val="00B12C76"/>
    <w:rsid w:val="00B12F09"/>
    <w:rsid w:val="00B13B66"/>
    <w:rsid w:val="00B13C2B"/>
    <w:rsid w:val="00B13FF0"/>
    <w:rsid w:val="00B140FE"/>
    <w:rsid w:val="00B142EF"/>
    <w:rsid w:val="00B14448"/>
    <w:rsid w:val="00B1484E"/>
    <w:rsid w:val="00B1493D"/>
    <w:rsid w:val="00B15055"/>
    <w:rsid w:val="00B1598E"/>
    <w:rsid w:val="00B15C36"/>
    <w:rsid w:val="00B16B55"/>
    <w:rsid w:val="00B17453"/>
    <w:rsid w:val="00B17828"/>
    <w:rsid w:val="00B1790B"/>
    <w:rsid w:val="00B17FF4"/>
    <w:rsid w:val="00B201B7"/>
    <w:rsid w:val="00B203FC"/>
    <w:rsid w:val="00B20438"/>
    <w:rsid w:val="00B21052"/>
    <w:rsid w:val="00B213E9"/>
    <w:rsid w:val="00B21847"/>
    <w:rsid w:val="00B21CD8"/>
    <w:rsid w:val="00B21D6E"/>
    <w:rsid w:val="00B222B6"/>
    <w:rsid w:val="00B22960"/>
    <w:rsid w:val="00B22D9C"/>
    <w:rsid w:val="00B23423"/>
    <w:rsid w:val="00B2379A"/>
    <w:rsid w:val="00B23A8C"/>
    <w:rsid w:val="00B23DE1"/>
    <w:rsid w:val="00B2463D"/>
    <w:rsid w:val="00B250CF"/>
    <w:rsid w:val="00B25941"/>
    <w:rsid w:val="00B2613B"/>
    <w:rsid w:val="00B27346"/>
    <w:rsid w:val="00B273E0"/>
    <w:rsid w:val="00B27463"/>
    <w:rsid w:val="00B2780A"/>
    <w:rsid w:val="00B27CAE"/>
    <w:rsid w:val="00B308D2"/>
    <w:rsid w:val="00B30A9E"/>
    <w:rsid w:val="00B31182"/>
    <w:rsid w:val="00B31306"/>
    <w:rsid w:val="00B32C78"/>
    <w:rsid w:val="00B32CB0"/>
    <w:rsid w:val="00B332E3"/>
    <w:rsid w:val="00B34A30"/>
    <w:rsid w:val="00B34CDA"/>
    <w:rsid w:val="00B34DBB"/>
    <w:rsid w:val="00B34FF3"/>
    <w:rsid w:val="00B352DB"/>
    <w:rsid w:val="00B354BB"/>
    <w:rsid w:val="00B35E7E"/>
    <w:rsid w:val="00B36106"/>
    <w:rsid w:val="00B36939"/>
    <w:rsid w:val="00B369A5"/>
    <w:rsid w:val="00B36B48"/>
    <w:rsid w:val="00B3754B"/>
    <w:rsid w:val="00B3759A"/>
    <w:rsid w:val="00B37881"/>
    <w:rsid w:val="00B40BAC"/>
    <w:rsid w:val="00B40D04"/>
    <w:rsid w:val="00B40E21"/>
    <w:rsid w:val="00B4116F"/>
    <w:rsid w:val="00B414EC"/>
    <w:rsid w:val="00B417E2"/>
    <w:rsid w:val="00B427A5"/>
    <w:rsid w:val="00B42E15"/>
    <w:rsid w:val="00B4331E"/>
    <w:rsid w:val="00B443E3"/>
    <w:rsid w:val="00B44508"/>
    <w:rsid w:val="00B44519"/>
    <w:rsid w:val="00B4466D"/>
    <w:rsid w:val="00B44728"/>
    <w:rsid w:val="00B44DB3"/>
    <w:rsid w:val="00B44EB8"/>
    <w:rsid w:val="00B45277"/>
    <w:rsid w:val="00B453B7"/>
    <w:rsid w:val="00B45817"/>
    <w:rsid w:val="00B458AC"/>
    <w:rsid w:val="00B4595B"/>
    <w:rsid w:val="00B459F6"/>
    <w:rsid w:val="00B45CC5"/>
    <w:rsid w:val="00B45D1C"/>
    <w:rsid w:val="00B45DC2"/>
    <w:rsid w:val="00B45E18"/>
    <w:rsid w:val="00B466B0"/>
    <w:rsid w:val="00B466F5"/>
    <w:rsid w:val="00B47227"/>
    <w:rsid w:val="00B472E7"/>
    <w:rsid w:val="00B4768F"/>
    <w:rsid w:val="00B477C6"/>
    <w:rsid w:val="00B47B9B"/>
    <w:rsid w:val="00B47CD6"/>
    <w:rsid w:val="00B50036"/>
    <w:rsid w:val="00B50AF1"/>
    <w:rsid w:val="00B51122"/>
    <w:rsid w:val="00B513CE"/>
    <w:rsid w:val="00B525BA"/>
    <w:rsid w:val="00B5380B"/>
    <w:rsid w:val="00B538B0"/>
    <w:rsid w:val="00B53923"/>
    <w:rsid w:val="00B53D01"/>
    <w:rsid w:val="00B53DAE"/>
    <w:rsid w:val="00B53ED6"/>
    <w:rsid w:val="00B53FD3"/>
    <w:rsid w:val="00B542F2"/>
    <w:rsid w:val="00B54B74"/>
    <w:rsid w:val="00B558BE"/>
    <w:rsid w:val="00B5605F"/>
    <w:rsid w:val="00B56070"/>
    <w:rsid w:val="00B56FA1"/>
    <w:rsid w:val="00B576A4"/>
    <w:rsid w:val="00B60204"/>
    <w:rsid w:val="00B60A08"/>
    <w:rsid w:val="00B61333"/>
    <w:rsid w:val="00B613F0"/>
    <w:rsid w:val="00B614EA"/>
    <w:rsid w:val="00B62789"/>
    <w:rsid w:val="00B62E93"/>
    <w:rsid w:val="00B63372"/>
    <w:rsid w:val="00B63772"/>
    <w:rsid w:val="00B63A5F"/>
    <w:rsid w:val="00B63B55"/>
    <w:rsid w:val="00B63E84"/>
    <w:rsid w:val="00B644A9"/>
    <w:rsid w:val="00B64E24"/>
    <w:rsid w:val="00B6594F"/>
    <w:rsid w:val="00B659B0"/>
    <w:rsid w:val="00B660FC"/>
    <w:rsid w:val="00B66870"/>
    <w:rsid w:val="00B66AF2"/>
    <w:rsid w:val="00B673D3"/>
    <w:rsid w:val="00B707F4"/>
    <w:rsid w:val="00B70A03"/>
    <w:rsid w:val="00B70AF1"/>
    <w:rsid w:val="00B70F6A"/>
    <w:rsid w:val="00B715C4"/>
    <w:rsid w:val="00B725F7"/>
    <w:rsid w:val="00B72734"/>
    <w:rsid w:val="00B73B59"/>
    <w:rsid w:val="00B73DED"/>
    <w:rsid w:val="00B7422D"/>
    <w:rsid w:val="00B7467B"/>
    <w:rsid w:val="00B74760"/>
    <w:rsid w:val="00B7501B"/>
    <w:rsid w:val="00B756D7"/>
    <w:rsid w:val="00B75FF7"/>
    <w:rsid w:val="00B76452"/>
    <w:rsid w:val="00B768E9"/>
    <w:rsid w:val="00B76EB1"/>
    <w:rsid w:val="00B76EE1"/>
    <w:rsid w:val="00B77122"/>
    <w:rsid w:val="00B77496"/>
    <w:rsid w:val="00B77AEA"/>
    <w:rsid w:val="00B77D55"/>
    <w:rsid w:val="00B80411"/>
    <w:rsid w:val="00B807B9"/>
    <w:rsid w:val="00B80C59"/>
    <w:rsid w:val="00B80D01"/>
    <w:rsid w:val="00B812AB"/>
    <w:rsid w:val="00B8157B"/>
    <w:rsid w:val="00B81850"/>
    <w:rsid w:val="00B81DE9"/>
    <w:rsid w:val="00B82023"/>
    <w:rsid w:val="00B82A0B"/>
    <w:rsid w:val="00B83868"/>
    <w:rsid w:val="00B83D26"/>
    <w:rsid w:val="00B83EA9"/>
    <w:rsid w:val="00B84522"/>
    <w:rsid w:val="00B84B9E"/>
    <w:rsid w:val="00B85100"/>
    <w:rsid w:val="00B85297"/>
    <w:rsid w:val="00B856F3"/>
    <w:rsid w:val="00B85A00"/>
    <w:rsid w:val="00B8656A"/>
    <w:rsid w:val="00B905BC"/>
    <w:rsid w:val="00B90DEC"/>
    <w:rsid w:val="00B90E69"/>
    <w:rsid w:val="00B9105E"/>
    <w:rsid w:val="00B92D96"/>
    <w:rsid w:val="00B931DF"/>
    <w:rsid w:val="00B93458"/>
    <w:rsid w:val="00B949FC"/>
    <w:rsid w:val="00B94AAD"/>
    <w:rsid w:val="00B94B80"/>
    <w:rsid w:val="00B94C30"/>
    <w:rsid w:val="00B94C76"/>
    <w:rsid w:val="00B94DD2"/>
    <w:rsid w:val="00B94EBB"/>
    <w:rsid w:val="00B94F85"/>
    <w:rsid w:val="00B95115"/>
    <w:rsid w:val="00B95A7F"/>
    <w:rsid w:val="00B95D2F"/>
    <w:rsid w:val="00B95D85"/>
    <w:rsid w:val="00B96EA3"/>
    <w:rsid w:val="00B96FEA"/>
    <w:rsid w:val="00B978FE"/>
    <w:rsid w:val="00B97C47"/>
    <w:rsid w:val="00B97E62"/>
    <w:rsid w:val="00BA1074"/>
    <w:rsid w:val="00BA12D1"/>
    <w:rsid w:val="00BA1C47"/>
    <w:rsid w:val="00BA1D46"/>
    <w:rsid w:val="00BA2184"/>
    <w:rsid w:val="00BA292E"/>
    <w:rsid w:val="00BA2E44"/>
    <w:rsid w:val="00BA383C"/>
    <w:rsid w:val="00BA43BB"/>
    <w:rsid w:val="00BA4E1B"/>
    <w:rsid w:val="00BA4E34"/>
    <w:rsid w:val="00BA5C15"/>
    <w:rsid w:val="00BA5DA5"/>
    <w:rsid w:val="00BA5FF5"/>
    <w:rsid w:val="00BA6693"/>
    <w:rsid w:val="00BA67DC"/>
    <w:rsid w:val="00BA6D4C"/>
    <w:rsid w:val="00BA7831"/>
    <w:rsid w:val="00BA7F50"/>
    <w:rsid w:val="00BB0347"/>
    <w:rsid w:val="00BB0481"/>
    <w:rsid w:val="00BB0DC2"/>
    <w:rsid w:val="00BB1295"/>
    <w:rsid w:val="00BB1D19"/>
    <w:rsid w:val="00BB1DEE"/>
    <w:rsid w:val="00BB219B"/>
    <w:rsid w:val="00BB2844"/>
    <w:rsid w:val="00BB2AC9"/>
    <w:rsid w:val="00BB44AF"/>
    <w:rsid w:val="00BB454D"/>
    <w:rsid w:val="00BB48FE"/>
    <w:rsid w:val="00BB5D79"/>
    <w:rsid w:val="00BB6097"/>
    <w:rsid w:val="00BB68BD"/>
    <w:rsid w:val="00BB6A99"/>
    <w:rsid w:val="00BB731A"/>
    <w:rsid w:val="00BB7CD2"/>
    <w:rsid w:val="00BC07EE"/>
    <w:rsid w:val="00BC2157"/>
    <w:rsid w:val="00BC2509"/>
    <w:rsid w:val="00BC2D49"/>
    <w:rsid w:val="00BC2D85"/>
    <w:rsid w:val="00BC2F68"/>
    <w:rsid w:val="00BC30AD"/>
    <w:rsid w:val="00BC351A"/>
    <w:rsid w:val="00BC44A2"/>
    <w:rsid w:val="00BC4B44"/>
    <w:rsid w:val="00BC4B4B"/>
    <w:rsid w:val="00BC4CBE"/>
    <w:rsid w:val="00BC4FFB"/>
    <w:rsid w:val="00BC5027"/>
    <w:rsid w:val="00BC58C5"/>
    <w:rsid w:val="00BC5CB9"/>
    <w:rsid w:val="00BC5DF4"/>
    <w:rsid w:val="00BC6E0F"/>
    <w:rsid w:val="00BC6E2F"/>
    <w:rsid w:val="00BC7766"/>
    <w:rsid w:val="00BC7CAA"/>
    <w:rsid w:val="00BC7DE6"/>
    <w:rsid w:val="00BC7F80"/>
    <w:rsid w:val="00BD0269"/>
    <w:rsid w:val="00BD054C"/>
    <w:rsid w:val="00BD0953"/>
    <w:rsid w:val="00BD0BB1"/>
    <w:rsid w:val="00BD0BE8"/>
    <w:rsid w:val="00BD0E9A"/>
    <w:rsid w:val="00BD1119"/>
    <w:rsid w:val="00BD17DC"/>
    <w:rsid w:val="00BD1F56"/>
    <w:rsid w:val="00BD20B5"/>
    <w:rsid w:val="00BD3D4E"/>
    <w:rsid w:val="00BD598E"/>
    <w:rsid w:val="00BD613C"/>
    <w:rsid w:val="00BD6536"/>
    <w:rsid w:val="00BE009C"/>
    <w:rsid w:val="00BE0C74"/>
    <w:rsid w:val="00BE1424"/>
    <w:rsid w:val="00BE14F1"/>
    <w:rsid w:val="00BE21B2"/>
    <w:rsid w:val="00BE2214"/>
    <w:rsid w:val="00BE2394"/>
    <w:rsid w:val="00BE2828"/>
    <w:rsid w:val="00BE2FD1"/>
    <w:rsid w:val="00BE306D"/>
    <w:rsid w:val="00BE32AF"/>
    <w:rsid w:val="00BE3E92"/>
    <w:rsid w:val="00BE4274"/>
    <w:rsid w:val="00BE454D"/>
    <w:rsid w:val="00BE47B7"/>
    <w:rsid w:val="00BE4959"/>
    <w:rsid w:val="00BE4B70"/>
    <w:rsid w:val="00BE4CB7"/>
    <w:rsid w:val="00BE4D1E"/>
    <w:rsid w:val="00BE5C1C"/>
    <w:rsid w:val="00BE5CC6"/>
    <w:rsid w:val="00BE61D8"/>
    <w:rsid w:val="00BE649E"/>
    <w:rsid w:val="00BE6931"/>
    <w:rsid w:val="00BE770C"/>
    <w:rsid w:val="00BE7B4B"/>
    <w:rsid w:val="00BF0B75"/>
    <w:rsid w:val="00BF1A4B"/>
    <w:rsid w:val="00BF1EB4"/>
    <w:rsid w:val="00BF2006"/>
    <w:rsid w:val="00BF2057"/>
    <w:rsid w:val="00BF2277"/>
    <w:rsid w:val="00BF23B1"/>
    <w:rsid w:val="00BF25A4"/>
    <w:rsid w:val="00BF31A8"/>
    <w:rsid w:val="00BF52A6"/>
    <w:rsid w:val="00BF5490"/>
    <w:rsid w:val="00BF55C5"/>
    <w:rsid w:val="00BF6BF6"/>
    <w:rsid w:val="00BF74FF"/>
    <w:rsid w:val="00BF7A8C"/>
    <w:rsid w:val="00BF7E0F"/>
    <w:rsid w:val="00C005AE"/>
    <w:rsid w:val="00C00B8B"/>
    <w:rsid w:val="00C00D35"/>
    <w:rsid w:val="00C00D89"/>
    <w:rsid w:val="00C00E90"/>
    <w:rsid w:val="00C0189C"/>
    <w:rsid w:val="00C01E21"/>
    <w:rsid w:val="00C020A8"/>
    <w:rsid w:val="00C0268E"/>
    <w:rsid w:val="00C02C8E"/>
    <w:rsid w:val="00C02E6B"/>
    <w:rsid w:val="00C02E8E"/>
    <w:rsid w:val="00C03803"/>
    <w:rsid w:val="00C0459F"/>
    <w:rsid w:val="00C05025"/>
    <w:rsid w:val="00C05451"/>
    <w:rsid w:val="00C05E21"/>
    <w:rsid w:val="00C06489"/>
    <w:rsid w:val="00C072AC"/>
    <w:rsid w:val="00C07347"/>
    <w:rsid w:val="00C10511"/>
    <w:rsid w:val="00C10596"/>
    <w:rsid w:val="00C10EA9"/>
    <w:rsid w:val="00C11538"/>
    <w:rsid w:val="00C11A46"/>
    <w:rsid w:val="00C11D23"/>
    <w:rsid w:val="00C124EB"/>
    <w:rsid w:val="00C12594"/>
    <w:rsid w:val="00C12598"/>
    <w:rsid w:val="00C12E5B"/>
    <w:rsid w:val="00C13437"/>
    <w:rsid w:val="00C13548"/>
    <w:rsid w:val="00C136F4"/>
    <w:rsid w:val="00C13D72"/>
    <w:rsid w:val="00C13DAA"/>
    <w:rsid w:val="00C13DBD"/>
    <w:rsid w:val="00C143D0"/>
    <w:rsid w:val="00C14798"/>
    <w:rsid w:val="00C149AA"/>
    <w:rsid w:val="00C15A16"/>
    <w:rsid w:val="00C15A61"/>
    <w:rsid w:val="00C15C57"/>
    <w:rsid w:val="00C15E2B"/>
    <w:rsid w:val="00C16146"/>
    <w:rsid w:val="00C164D5"/>
    <w:rsid w:val="00C166BB"/>
    <w:rsid w:val="00C16717"/>
    <w:rsid w:val="00C171DB"/>
    <w:rsid w:val="00C173F0"/>
    <w:rsid w:val="00C17614"/>
    <w:rsid w:val="00C17679"/>
    <w:rsid w:val="00C212B0"/>
    <w:rsid w:val="00C21527"/>
    <w:rsid w:val="00C21BDC"/>
    <w:rsid w:val="00C2222F"/>
    <w:rsid w:val="00C22244"/>
    <w:rsid w:val="00C2276A"/>
    <w:rsid w:val="00C22FF9"/>
    <w:rsid w:val="00C23332"/>
    <w:rsid w:val="00C235C5"/>
    <w:rsid w:val="00C23912"/>
    <w:rsid w:val="00C249A5"/>
    <w:rsid w:val="00C24B86"/>
    <w:rsid w:val="00C24F17"/>
    <w:rsid w:val="00C24F5A"/>
    <w:rsid w:val="00C2689D"/>
    <w:rsid w:val="00C27108"/>
    <w:rsid w:val="00C272EF"/>
    <w:rsid w:val="00C272FB"/>
    <w:rsid w:val="00C27CC4"/>
    <w:rsid w:val="00C27E02"/>
    <w:rsid w:val="00C27E72"/>
    <w:rsid w:val="00C300CA"/>
    <w:rsid w:val="00C30235"/>
    <w:rsid w:val="00C3080E"/>
    <w:rsid w:val="00C30DB6"/>
    <w:rsid w:val="00C313DD"/>
    <w:rsid w:val="00C31BA8"/>
    <w:rsid w:val="00C31D5A"/>
    <w:rsid w:val="00C31EE2"/>
    <w:rsid w:val="00C320B0"/>
    <w:rsid w:val="00C32780"/>
    <w:rsid w:val="00C333C3"/>
    <w:rsid w:val="00C33DE2"/>
    <w:rsid w:val="00C34810"/>
    <w:rsid w:val="00C34980"/>
    <w:rsid w:val="00C3541A"/>
    <w:rsid w:val="00C35A03"/>
    <w:rsid w:val="00C362B0"/>
    <w:rsid w:val="00C369B3"/>
    <w:rsid w:val="00C36B6B"/>
    <w:rsid w:val="00C37AC7"/>
    <w:rsid w:val="00C400E1"/>
    <w:rsid w:val="00C40D95"/>
    <w:rsid w:val="00C4178E"/>
    <w:rsid w:val="00C41D2C"/>
    <w:rsid w:val="00C424F5"/>
    <w:rsid w:val="00C436A0"/>
    <w:rsid w:val="00C441BD"/>
    <w:rsid w:val="00C444CE"/>
    <w:rsid w:val="00C44C10"/>
    <w:rsid w:val="00C44E15"/>
    <w:rsid w:val="00C45107"/>
    <w:rsid w:val="00C45BD3"/>
    <w:rsid w:val="00C46A2F"/>
    <w:rsid w:val="00C46B1C"/>
    <w:rsid w:val="00C46CAC"/>
    <w:rsid w:val="00C46F61"/>
    <w:rsid w:val="00C475EF"/>
    <w:rsid w:val="00C47A17"/>
    <w:rsid w:val="00C50D1B"/>
    <w:rsid w:val="00C50DF7"/>
    <w:rsid w:val="00C50DFC"/>
    <w:rsid w:val="00C50E32"/>
    <w:rsid w:val="00C510BE"/>
    <w:rsid w:val="00C51102"/>
    <w:rsid w:val="00C512A0"/>
    <w:rsid w:val="00C5138A"/>
    <w:rsid w:val="00C51B40"/>
    <w:rsid w:val="00C51C97"/>
    <w:rsid w:val="00C525FA"/>
    <w:rsid w:val="00C5268E"/>
    <w:rsid w:val="00C533F5"/>
    <w:rsid w:val="00C534BF"/>
    <w:rsid w:val="00C5380E"/>
    <w:rsid w:val="00C53A5A"/>
    <w:rsid w:val="00C53F57"/>
    <w:rsid w:val="00C54608"/>
    <w:rsid w:val="00C5497B"/>
    <w:rsid w:val="00C55415"/>
    <w:rsid w:val="00C5582C"/>
    <w:rsid w:val="00C559C5"/>
    <w:rsid w:val="00C562B4"/>
    <w:rsid w:val="00C5655B"/>
    <w:rsid w:val="00C56EFE"/>
    <w:rsid w:val="00C57089"/>
    <w:rsid w:val="00C57477"/>
    <w:rsid w:val="00C57AA3"/>
    <w:rsid w:val="00C57CC0"/>
    <w:rsid w:val="00C6010D"/>
    <w:rsid w:val="00C60669"/>
    <w:rsid w:val="00C6123C"/>
    <w:rsid w:val="00C61D3C"/>
    <w:rsid w:val="00C61DEB"/>
    <w:rsid w:val="00C622A0"/>
    <w:rsid w:val="00C62BA7"/>
    <w:rsid w:val="00C62E1A"/>
    <w:rsid w:val="00C63158"/>
    <w:rsid w:val="00C6363D"/>
    <w:rsid w:val="00C6421E"/>
    <w:rsid w:val="00C64758"/>
    <w:rsid w:val="00C649F9"/>
    <w:rsid w:val="00C64BCC"/>
    <w:rsid w:val="00C658D7"/>
    <w:rsid w:val="00C65E98"/>
    <w:rsid w:val="00C66FA8"/>
    <w:rsid w:val="00C67388"/>
    <w:rsid w:val="00C673F5"/>
    <w:rsid w:val="00C674FD"/>
    <w:rsid w:val="00C67841"/>
    <w:rsid w:val="00C708A7"/>
    <w:rsid w:val="00C708F1"/>
    <w:rsid w:val="00C710E6"/>
    <w:rsid w:val="00C715D3"/>
    <w:rsid w:val="00C71A1B"/>
    <w:rsid w:val="00C71A99"/>
    <w:rsid w:val="00C728BE"/>
    <w:rsid w:val="00C729A9"/>
    <w:rsid w:val="00C73640"/>
    <w:rsid w:val="00C73A8D"/>
    <w:rsid w:val="00C74290"/>
    <w:rsid w:val="00C742AC"/>
    <w:rsid w:val="00C746C6"/>
    <w:rsid w:val="00C755AC"/>
    <w:rsid w:val="00C75674"/>
    <w:rsid w:val="00C757A5"/>
    <w:rsid w:val="00C75AC6"/>
    <w:rsid w:val="00C75E56"/>
    <w:rsid w:val="00C76EDE"/>
    <w:rsid w:val="00C77AB6"/>
    <w:rsid w:val="00C77D9B"/>
    <w:rsid w:val="00C80E16"/>
    <w:rsid w:val="00C8112A"/>
    <w:rsid w:val="00C815CF"/>
    <w:rsid w:val="00C81B92"/>
    <w:rsid w:val="00C81C09"/>
    <w:rsid w:val="00C81CB0"/>
    <w:rsid w:val="00C81D4A"/>
    <w:rsid w:val="00C81D57"/>
    <w:rsid w:val="00C824F0"/>
    <w:rsid w:val="00C8270B"/>
    <w:rsid w:val="00C82E0F"/>
    <w:rsid w:val="00C84243"/>
    <w:rsid w:val="00C84F50"/>
    <w:rsid w:val="00C85820"/>
    <w:rsid w:val="00C866A6"/>
    <w:rsid w:val="00C86BB7"/>
    <w:rsid w:val="00C87278"/>
    <w:rsid w:val="00C87504"/>
    <w:rsid w:val="00C87546"/>
    <w:rsid w:val="00C87560"/>
    <w:rsid w:val="00C87F44"/>
    <w:rsid w:val="00C90096"/>
    <w:rsid w:val="00C9168B"/>
    <w:rsid w:val="00C91806"/>
    <w:rsid w:val="00C91E5C"/>
    <w:rsid w:val="00C9220A"/>
    <w:rsid w:val="00C92648"/>
    <w:rsid w:val="00C92F8E"/>
    <w:rsid w:val="00C93AB7"/>
    <w:rsid w:val="00C9403D"/>
    <w:rsid w:val="00C9450D"/>
    <w:rsid w:val="00C94E23"/>
    <w:rsid w:val="00C94EF8"/>
    <w:rsid w:val="00C95BC5"/>
    <w:rsid w:val="00C975E4"/>
    <w:rsid w:val="00C9787B"/>
    <w:rsid w:val="00C97BE5"/>
    <w:rsid w:val="00C97D50"/>
    <w:rsid w:val="00CA07D4"/>
    <w:rsid w:val="00CA105D"/>
    <w:rsid w:val="00CA11A2"/>
    <w:rsid w:val="00CA2E4D"/>
    <w:rsid w:val="00CA2FD2"/>
    <w:rsid w:val="00CA318B"/>
    <w:rsid w:val="00CA37CA"/>
    <w:rsid w:val="00CA3B3B"/>
    <w:rsid w:val="00CA4076"/>
    <w:rsid w:val="00CA426C"/>
    <w:rsid w:val="00CA4CEB"/>
    <w:rsid w:val="00CA563C"/>
    <w:rsid w:val="00CA58FD"/>
    <w:rsid w:val="00CA5CDB"/>
    <w:rsid w:val="00CA72DD"/>
    <w:rsid w:val="00CA7564"/>
    <w:rsid w:val="00CA789F"/>
    <w:rsid w:val="00CA7FC2"/>
    <w:rsid w:val="00CB002D"/>
    <w:rsid w:val="00CB29B3"/>
    <w:rsid w:val="00CB339E"/>
    <w:rsid w:val="00CB39FD"/>
    <w:rsid w:val="00CB3BB4"/>
    <w:rsid w:val="00CB4D64"/>
    <w:rsid w:val="00CB516F"/>
    <w:rsid w:val="00CB55EA"/>
    <w:rsid w:val="00CB6120"/>
    <w:rsid w:val="00CB659B"/>
    <w:rsid w:val="00CB69B5"/>
    <w:rsid w:val="00CB6AD6"/>
    <w:rsid w:val="00CB6F7D"/>
    <w:rsid w:val="00CB74DD"/>
    <w:rsid w:val="00CB7E3D"/>
    <w:rsid w:val="00CC03B2"/>
    <w:rsid w:val="00CC08BD"/>
    <w:rsid w:val="00CC0B8D"/>
    <w:rsid w:val="00CC0CF5"/>
    <w:rsid w:val="00CC1A8A"/>
    <w:rsid w:val="00CC1B2E"/>
    <w:rsid w:val="00CC1E53"/>
    <w:rsid w:val="00CC221C"/>
    <w:rsid w:val="00CC2711"/>
    <w:rsid w:val="00CC2B95"/>
    <w:rsid w:val="00CC2D1F"/>
    <w:rsid w:val="00CC39A5"/>
    <w:rsid w:val="00CC4391"/>
    <w:rsid w:val="00CC47B6"/>
    <w:rsid w:val="00CC4800"/>
    <w:rsid w:val="00CC54BA"/>
    <w:rsid w:val="00CC5794"/>
    <w:rsid w:val="00CC6270"/>
    <w:rsid w:val="00CC6E48"/>
    <w:rsid w:val="00CC7309"/>
    <w:rsid w:val="00CC7959"/>
    <w:rsid w:val="00CD02B0"/>
    <w:rsid w:val="00CD02F8"/>
    <w:rsid w:val="00CD0547"/>
    <w:rsid w:val="00CD1E4D"/>
    <w:rsid w:val="00CD20E3"/>
    <w:rsid w:val="00CD2DAA"/>
    <w:rsid w:val="00CD2E24"/>
    <w:rsid w:val="00CD3879"/>
    <w:rsid w:val="00CD461E"/>
    <w:rsid w:val="00CD5DFD"/>
    <w:rsid w:val="00CD617A"/>
    <w:rsid w:val="00CD6293"/>
    <w:rsid w:val="00CD6392"/>
    <w:rsid w:val="00CD69E4"/>
    <w:rsid w:val="00CD70C3"/>
    <w:rsid w:val="00CD70C9"/>
    <w:rsid w:val="00CD7499"/>
    <w:rsid w:val="00CE093A"/>
    <w:rsid w:val="00CE0AF9"/>
    <w:rsid w:val="00CE0B54"/>
    <w:rsid w:val="00CE0EBF"/>
    <w:rsid w:val="00CE14B4"/>
    <w:rsid w:val="00CE14DB"/>
    <w:rsid w:val="00CE1ACA"/>
    <w:rsid w:val="00CE2163"/>
    <w:rsid w:val="00CE21F0"/>
    <w:rsid w:val="00CE26B2"/>
    <w:rsid w:val="00CE2BDE"/>
    <w:rsid w:val="00CE3351"/>
    <w:rsid w:val="00CE4171"/>
    <w:rsid w:val="00CE4B94"/>
    <w:rsid w:val="00CE4D5F"/>
    <w:rsid w:val="00CE504B"/>
    <w:rsid w:val="00CE51F7"/>
    <w:rsid w:val="00CE5562"/>
    <w:rsid w:val="00CE5615"/>
    <w:rsid w:val="00CE6184"/>
    <w:rsid w:val="00CE66BA"/>
    <w:rsid w:val="00CE6872"/>
    <w:rsid w:val="00CE6902"/>
    <w:rsid w:val="00CE6929"/>
    <w:rsid w:val="00CE69A5"/>
    <w:rsid w:val="00CE7421"/>
    <w:rsid w:val="00CE75A9"/>
    <w:rsid w:val="00CE7ED7"/>
    <w:rsid w:val="00CF0565"/>
    <w:rsid w:val="00CF0753"/>
    <w:rsid w:val="00CF0B56"/>
    <w:rsid w:val="00CF0F69"/>
    <w:rsid w:val="00CF1015"/>
    <w:rsid w:val="00CF2205"/>
    <w:rsid w:val="00CF277C"/>
    <w:rsid w:val="00CF29F0"/>
    <w:rsid w:val="00CF343D"/>
    <w:rsid w:val="00CF3576"/>
    <w:rsid w:val="00CF3966"/>
    <w:rsid w:val="00CF43D4"/>
    <w:rsid w:val="00CF467D"/>
    <w:rsid w:val="00CF4FFE"/>
    <w:rsid w:val="00CF5150"/>
    <w:rsid w:val="00CF583A"/>
    <w:rsid w:val="00CF58A2"/>
    <w:rsid w:val="00CF5BD4"/>
    <w:rsid w:val="00CF5D28"/>
    <w:rsid w:val="00CF5E72"/>
    <w:rsid w:val="00CF6085"/>
    <w:rsid w:val="00CF66B0"/>
    <w:rsid w:val="00CF749F"/>
    <w:rsid w:val="00CF75C5"/>
    <w:rsid w:val="00CF789C"/>
    <w:rsid w:val="00CF7F3F"/>
    <w:rsid w:val="00D00243"/>
    <w:rsid w:val="00D00640"/>
    <w:rsid w:val="00D0069C"/>
    <w:rsid w:val="00D00A81"/>
    <w:rsid w:val="00D00FFE"/>
    <w:rsid w:val="00D01342"/>
    <w:rsid w:val="00D01348"/>
    <w:rsid w:val="00D0157F"/>
    <w:rsid w:val="00D01A7E"/>
    <w:rsid w:val="00D01E2D"/>
    <w:rsid w:val="00D02543"/>
    <w:rsid w:val="00D02682"/>
    <w:rsid w:val="00D03E19"/>
    <w:rsid w:val="00D04505"/>
    <w:rsid w:val="00D045CC"/>
    <w:rsid w:val="00D047CB"/>
    <w:rsid w:val="00D0578C"/>
    <w:rsid w:val="00D05953"/>
    <w:rsid w:val="00D0635B"/>
    <w:rsid w:val="00D06D01"/>
    <w:rsid w:val="00D10605"/>
    <w:rsid w:val="00D115F2"/>
    <w:rsid w:val="00D11966"/>
    <w:rsid w:val="00D11DA4"/>
    <w:rsid w:val="00D11F62"/>
    <w:rsid w:val="00D1225C"/>
    <w:rsid w:val="00D124C3"/>
    <w:rsid w:val="00D130F8"/>
    <w:rsid w:val="00D13297"/>
    <w:rsid w:val="00D132DC"/>
    <w:rsid w:val="00D13460"/>
    <w:rsid w:val="00D13486"/>
    <w:rsid w:val="00D13CE2"/>
    <w:rsid w:val="00D14224"/>
    <w:rsid w:val="00D1467A"/>
    <w:rsid w:val="00D147E0"/>
    <w:rsid w:val="00D153C7"/>
    <w:rsid w:val="00D164CF"/>
    <w:rsid w:val="00D17FF3"/>
    <w:rsid w:val="00D2011E"/>
    <w:rsid w:val="00D208F4"/>
    <w:rsid w:val="00D20916"/>
    <w:rsid w:val="00D20F09"/>
    <w:rsid w:val="00D20F52"/>
    <w:rsid w:val="00D211ED"/>
    <w:rsid w:val="00D217BB"/>
    <w:rsid w:val="00D217F0"/>
    <w:rsid w:val="00D224A5"/>
    <w:rsid w:val="00D2358F"/>
    <w:rsid w:val="00D23646"/>
    <w:rsid w:val="00D2365C"/>
    <w:rsid w:val="00D23661"/>
    <w:rsid w:val="00D236A0"/>
    <w:rsid w:val="00D238E2"/>
    <w:rsid w:val="00D23A1F"/>
    <w:rsid w:val="00D23FE3"/>
    <w:rsid w:val="00D251F1"/>
    <w:rsid w:val="00D25575"/>
    <w:rsid w:val="00D25C18"/>
    <w:rsid w:val="00D25C26"/>
    <w:rsid w:val="00D262EB"/>
    <w:rsid w:val="00D26ED4"/>
    <w:rsid w:val="00D271DC"/>
    <w:rsid w:val="00D27589"/>
    <w:rsid w:val="00D27F7A"/>
    <w:rsid w:val="00D3017E"/>
    <w:rsid w:val="00D30399"/>
    <w:rsid w:val="00D30546"/>
    <w:rsid w:val="00D31331"/>
    <w:rsid w:val="00D31A12"/>
    <w:rsid w:val="00D31AFB"/>
    <w:rsid w:val="00D31D25"/>
    <w:rsid w:val="00D32BA9"/>
    <w:rsid w:val="00D32F4E"/>
    <w:rsid w:val="00D341C0"/>
    <w:rsid w:val="00D34745"/>
    <w:rsid w:val="00D3474C"/>
    <w:rsid w:val="00D3492D"/>
    <w:rsid w:val="00D34A56"/>
    <w:rsid w:val="00D34EE4"/>
    <w:rsid w:val="00D34EFA"/>
    <w:rsid w:val="00D35588"/>
    <w:rsid w:val="00D35A4A"/>
    <w:rsid w:val="00D3661D"/>
    <w:rsid w:val="00D36907"/>
    <w:rsid w:val="00D36933"/>
    <w:rsid w:val="00D36CDB"/>
    <w:rsid w:val="00D36F06"/>
    <w:rsid w:val="00D370AF"/>
    <w:rsid w:val="00D372AD"/>
    <w:rsid w:val="00D379A6"/>
    <w:rsid w:val="00D37C44"/>
    <w:rsid w:val="00D37FC9"/>
    <w:rsid w:val="00D4022D"/>
    <w:rsid w:val="00D41324"/>
    <w:rsid w:val="00D41AFA"/>
    <w:rsid w:val="00D41D1E"/>
    <w:rsid w:val="00D41D73"/>
    <w:rsid w:val="00D42316"/>
    <w:rsid w:val="00D42B67"/>
    <w:rsid w:val="00D42EA1"/>
    <w:rsid w:val="00D4335B"/>
    <w:rsid w:val="00D433B8"/>
    <w:rsid w:val="00D43533"/>
    <w:rsid w:val="00D43AA7"/>
    <w:rsid w:val="00D43BE4"/>
    <w:rsid w:val="00D4427A"/>
    <w:rsid w:val="00D452ED"/>
    <w:rsid w:val="00D4591E"/>
    <w:rsid w:val="00D46053"/>
    <w:rsid w:val="00D46BFC"/>
    <w:rsid w:val="00D47368"/>
    <w:rsid w:val="00D501AF"/>
    <w:rsid w:val="00D50222"/>
    <w:rsid w:val="00D50560"/>
    <w:rsid w:val="00D5065A"/>
    <w:rsid w:val="00D5172C"/>
    <w:rsid w:val="00D51EC0"/>
    <w:rsid w:val="00D52371"/>
    <w:rsid w:val="00D52510"/>
    <w:rsid w:val="00D52D15"/>
    <w:rsid w:val="00D52FA8"/>
    <w:rsid w:val="00D538EF"/>
    <w:rsid w:val="00D53CB2"/>
    <w:rsid w:val="00D53E91"/>
    <w:rsid w:val="00D540DB"/>
    <w:rsid w:val="00D542E8"/>
    <w:rsid w:val="00D54457"/>
    <w:rsid w:val="00D54527"/>
    <w:rsid w:val="00D54684"/>
    <w:rsid w:val="00D550CF"/>
    <w:rsid w:val="00D553CC"/>
    <w:rsid w:val="00D569C3"/>
    <w:rsid w:val="00D56E16"/>
    <w:rsid w:val="00D56EF3"/>
    <w:rsid w:val="00D5764E"/>
    <w:rsid w:val="00D57905"/>
    <w:rsid w:val="00D600F0"/>
    <w:rsid w:val="00D60991"/>
    <w:rsid w:val="00D60CED"/>
    <w:rsid w:val="00D61441"/>
    <w:rsid w:val="00D621EE"/>
    <w:rsid w:val="00D62EC1"/>
    <w:rsid w:val="00D62FD1"/>
    <w:rsid w:val="00D631E0"/>
    <w:rsid w:val="00D634D0"/>
    <w:rsid w:val="00D636B4"/>
    <w:rsid w:val="00D63ACF"/>
    <w:rsid w:val="00D64107"/>
    <w:rsid w:val="00D642E6"/>
    <w:rsid w:val="00D64722"/>
    <w:rsid w:val="00D6474A"/>
    <w:rsid w:val="00D64B05"/>
    <w:rsid w:val="00D64FDA"/>
    <w:rsid w:val="00D65172"/>
    <w:rsid w:val="00D653D6"/>
    <w:rsid w:val="00D66B1F"/>
    <w:rsid w:val="00D66B7A"/>
    <w:rsid w:val="00D67BF3"/>
    <w:rsid w:val="00D67E0A"/>
    <w:rsid w:val="00D708EB"/>
    <w:rsid w:val="00D70A06"/>
    <w:rsid w:val="00D70C2B"/>
    <w:rsid w:val="00D7151B"/>
    <w:rsid w:val="00D716FC"/>
    <w:rsid w:val="00D71978"/>
    <w:rsid w:val="00D71C81"/>
    <w:rsid w:val="00D731CD"/>
    <w:rsid w:val="00D7347E"/>
    <w:rsid w:val="00D73908"/>
    <w:rsid w:val="00D73A31"/>
    <w:rsid w:val="00D74369"/>
    <w:rsid w:val="00D74565"/>
    <w:rsid w:val="00D745ED"/>
    <w:rsid w:val="00D74B9E"/>
    <w:rsid w:val="00D75599"/>
    <w:rsid w:val="00D761F5"/>
    <w:rsid w:val="00D765C6"/>
    <w:rsid w:val="00D766D6"/>
    <w:rsid w:val="00D7686C"/>
    <w:rsid w:val="00D768BF"/>
    <w:rsid w:val="00D76FE0"/>
    <w:rsid w:val="00D7707B"/>
    <w:rsid w:val="00D77146"/>
    <w:rsid w:val="00D77371"/>
    <w:rsid w:val="00D7742D"/>
    <w:rsid w:val="00D77B8A"/>
    <w:rsid w:val="00D802B6"/>
    <w:rsid w:val="00D81050"/>
    <w:rsid w:val="00D8127F"/>
    <w:rsid w:val="00D81399"/>
    <w:rsid w:val="00D81ABD"/>
    <w:rsid w:val="00D82056"/>
    <w:rsid w:val="00D82400"/>
    <w:rsid w:val="00D8282E"/>
    <w:rsid w:val="00D82A68"/>
    <w:rsid w:val="00D82B40"/>
    <w:rsid w:val="00D82EAB"/>
    <w:rsid w:val="00D8353F"/>
    <w:rsid w:val="00D843FE"/>
    <w:rsid w:val="00D84404"/>
    <w:rsid w:val="00D846CF"/>
    <w:rsid w:val="00D8493D"/>
    <w:rsid w:val="00D86344"/>
    <w:rsid w:val="00D866B8"/>
    <w:rsid w:val="00D87D24"/>
    <w:rsid w:val="00D87EB3"/>
    <w:rsid w:val="00D90CB9"/>
    <w:rsid w:val="00D90EB7"/>
    <w:rsid w:val="00D91653"/>
    <w:rsid w:val="00D92029"/>
    <w:rsid w:val="00D92BE2"/>
    <w:rsid w:val="00D930C0"/>
    <w:rsid w:val="00D93190"/>
    <w:rsid w:val="00D9379C"/>
    <w:rsid w:val="00D94828"/>
    <w:rsid w:val="00D94A64"/>
    <w:rsid w:val="00D955E2"/>
    <w:rsid w:val="00D958BD"/>
    <w:rsid w:val="00D95990"/>
    <w:rsid w:val="00D959F9"/>
    <w:rsid w:val="00D95A2D"/>
    <w:rsid w:val="00D96375"/>
    <w:rsid w:val="00D9653C"/>
    <w:rsid w:val="00D965D7"/>
    <w:rsid w:val="00D96C47"/>
    <w:rsid w:val="00DA02FA"/>
    <w:rsid w:val="00DA0576"/>
    <w:rsid w:val="00DA0A32"/>
    <w:rsid w:val="00DA13B8"/>
    <w:rsid w:val="00DA1855"/>
    <w:rsid w:val="00DA210F"/>
    <w:rsid w:val="00DA2169"/>
    <w:rsid w:val="00DA349D"/>
    <w:rsid w:val="00DA3706"/>
    <w:rsid w:val="00DA4216"/>
    <w:rsid w:val="00DA4852"/>
    <w:rsid w:val="00DA5324"/>
    <w:rsid w:val="00DA54EF"/>
    <w:rsid w:val="00DA7062"/>
    <w:rsid w:val="00DA70A0"/>
    <w:rsid w:val="00DA70E5"/>
    <w:rsid w:val="00DA7A4F"/>
    <w:rsid w:val="00DB1218"/>
    <w:rsid w:val="00DB1BFD"/>
    <w:rsid w:val="00DB1DB6"/>
    <w:rsid w:val="00DB2F0D"/>
    <w:rsid w:val="00DB2F77"/>
    <w:rsid w:val="00DB38A8"/>
    <w:rsid w:val="00DB3A53"/>
    <w:rsid w:val="00DB4416"/>
    <w:rsid w:val="00DB4F28"/>
    <w:rsid w:val="00DB4F5A"/>
    <w:rsid w:val="00DB5A3E"/>
    <w:rsid w:val="00DB5C3C"/>
    <w:rsid w:val="00DB6D7B"/>
    <w:rsid w:val="00DB6DC4"/>
    <w:rsid w:val="00DB6DEB"/>
    <w:rsid w:val="00DB7127"/>
    <w:rsid w:val="00DB7D86"/>
    <w:rsid w:val="00DC010B"/>
    <w:rsid w:val="00DC0716"/>
    <w:rsid w:val="00DC0DB9"/>
    <w:rsid w:val="00DC190B"/>
    <w:rsid w:val="00DC2CE0"/>
    <w:rsid w:val="00DC2E2F"/>
    <w:rsid w:val="00DC414A"/>
    <w:rsid w:val="00DC4660"/>
    <w:rsid w:val="00DC5159"/>
    <w:rsid w:val="00DC52C3"/>
    <w:rsid w:val="00DC6041"/>
    <w:rsid w:val="00DC604C"/>
    <w:rsid w:val="00DC6229"/>
    <w:rsid w:val="00DC6B62"/>
    <w:rsid w:val="00DC78F5"/>
    <w:rsid w:val="00DC792F"/>
    <w:rsid w:val="00DC7C81"/>
    <w:rsid w:val="00DC7C8F"/>
    <w:rsid w:val="00DD03DF"/>
    <w:rsid w:val="00DD0981"/>
    <w:rsid w:val="00DD0E60"/>
    <w:rsid w:val="00DD0F4F"/>
    <w:rsid w:val="00DD13D8"/>
    <w:rsid w:val="00DD143D"/>
    <w:rsid w:val="00DD2051"/>
    <w:rsid w:val="00DD22D4"/>
    <w:rsid w:val="00DD3D87"/>
    <w:rsid w:val="00DD445B"/>
    <w:rsid w:val="00DD484D"/>
    <w:rsid w:val="00DD4B9F"/>
    <w:rsid w:val="00DD4F86"/>
    <w:rsid w:val="00DD534C"/>
    <w:rsid w:val="00DD60F3"/>
    <w:rsid w:val="00DD6177"/>
    <w:rsid w:val="00DD6604"/>
    <w:rsid w:val="00DD6873"/>
    <w:rsid w:val="00DD6AC5"/>
    <w:rsid w:val="00DD6BB1"/>
    <w:rsid w:val="00DD6D02"/>
    <w:rsid w:val="00DD6FC2"/>
    <w:rsid w:val="00DD798B"/>
    <w:rsid w:val="00DE0B30"/>
    <w:rsid w:val="00DE0DC4"/>
    <w:rsid w:val="00DE0E77"/>
    <w:rsid w:val="00DE13A3"/>
    <w:rsid w:val="00DE173F"/>
    <w:rsid w:val="00DE17B2"/>
    <w:rsid w:val="00DE1E0D"/>
    <w:rsid w:val="00DE23DD"/>
    <w:rsid w:val="00DE243E"/>
    <w:rsid w:val="00DE2694"/>
    <w:rsid w:val="00DE314D"/>
    <w:rsid w:val="00DE3ACA"/>
    <w:rsid w:val="00DE3D11"/>
    <w:rsid w:val="00DE44C6"/>
    <w:rsid w:val="00DE45CA"/>
    <w:rsid w:val="00DE46B2"/>
    <w:rsid w:val="00DE4CBE"/>
    <w:rsid w:val="00DE4D51"/>
    <w:rsid w:val="00DE5181"/>
    <w:rsid w:val="00DE5CDC"/>
    <w:rsid w:val="00DE6BB3"/>
    <w:rsid w:val="00DE6C34"/>
    <w:rsid w:val="00DE7BD2"/>
    <w:rsid w:val="00DF0086"/>
    <w:rsid w:val="00DF04CC"/>
    <w:rsid w:val="00DF0686"/>
    <w:rsid w:val="00DF07A2"/>
    <w:rsid w:val="00DF144D"/>
    <w:rsid w:val="00DF1A88"/>
    <w:rsid w:val="00DF1CF7"/>
    <w:rsid w:val="00DF26B8"/>
    <w:rsid w:val="00DF2CEF"/>
    <w:rsid w:val="00DF2F8E"/>
    <w:rsid w:val="00DF3188"/>
    <w:rsid w:val="00DF32C5"/>
    <w:rsid w:val="00DF3731"/>
    <w:rsid w:val="00DF39EC"/>
    <w:rsid w:val="00DF3FD2"/>
    <w:rsid w:val="00DF422C"/>
    <w:rsid w:val="00DF4610"/>
    <w:rsid w:val="00DF49E7"/>
    <w:rsid w:val="00DF53B4"/>
    <w:rsid w:val="00DF5502"/>
    <w:rsid w:val="00DF55A7"/>
    <w:rsid w:val="00DF5707"/>
    <w:rsid w:val="00DF637C"/>
    <w:rsid w:val="00DF6C0B"/>
    <w:rsid w:val="00DF70C2"/>
    <w:rsid w:val="00DF7180"/>
    <w:rsid w:val="00DF72AB"/>
    <w:rsid w:val="00DF7676"/>
    <w:rsid w:val="00DF7684"/>
    <w:rsid w:val="00DF77CF"/>
    <w:rsid w:val="00DF7D3C"/>
    <w:rsid w:val="00DF7F9D"/>
    <w:rsid w:val="00E005D6"/>
    <w:rsid w:val="00E00A42"/>
    <w:rsid w:val="00E00F78"/>
    <w:rsid w:val="00E01142"/>
    <w:rsid w:val="00E013BB"/>
    <w:rsid w:val="00E01F3B"/>
    <w:rsid w:val="00E02282"/>
    <w:rsid w:val="00E02DEB"/>
    <w:rsid w:val="00E02E06"/>
    <w:rsid w:val="00E0313E"/>
    <w:rsid w:val="00E03356"/>
    <w:rsid w:val="00E034B8"/>
    <w:rsid w:val="00E03A95"/>
    <w:rsid w:val="00E03DFB"/>
    <w:rsid w:val="00E0416E"/>
    <w:rsid w:val="00E0533E"/>
    <w:rsid w:val="00E0534D"/>
    <w:rsid w:val="00E0618B"/>
    <w:rsid w:val="00E065D5"/>
    <w:rsid w:val="00E068A6"/>
    <w:rsid w:val="00E07461"/>
    <w:rsid w:val="00E075D8"/>
    <w:rsid w:val="00E07BE2"/>
    <w:rsid w:val="00E103F9"/>
    <w:rsid w:val="00E10659"/>
    <w:rsid w:val="00E1097C"/>
    <w:rsid w:val="00E10AC8"/>
    <w:rsid w:val="00E1103E"/>
    <w:rsid w:val="00E1136C"/>
    <w:rsid w:val="00E12115"/>
    <w:rsid w:val="00E12457"/>
    <w:rsid w:val="00E1248F"/>
    <w:rsid w:val="00E12531"/>
    <w:rsid w:val="00E1261D"/>
    <w:rsid w:val="00E12642"/>
    <w:rsid w:val="00E126B7"/>
    <w:rsid w:val="00E12702"/>
    <w:rsid w:val="00E12DB9"/>
    <w:rsid w:val="00E136FA"/>
    <w:rsid w:val="00E13723"/>
    <w:rsid w:val="00E137DB"/>
    <w:rsid w:val="00E138B4"/>
    <w:rsid w:val="00E14706"/>
    <w:rsid w:val="00E14991"/>
    <w:rsid w:val="00E14A50"/>
    <w:rsid w:val="00E14FAD"/>
    <w:rsid w:val="00E15345"/>
    <w:rsid w:val="00E154EC"/>
    <w:rsid w:val="00E15AEA"/>
    <w:rsid w:val="00E1737A"/>
    <w:rsid w:val="00E17725"/>
    <w:rsid w:val="00E17A55"/>
    <w:rsid w:val="00E17ACD"/>
    <w:rsid w:val="00E2056A"/>
    <w:rsid w:val="00E2212C"/>
    <w:rsid w:val="00E22453"/>
    <w:rsid w:val="00E229CA"/>
    <w:rsid w:val="00E2320E"/>
    <w:rsid w:val="00E23967"/>
    <w:rsid w:val="00E23A76"/>
    <w:rsid w:val="00E24266"/>
    <w:rsid w:val="00E2447B"/>
    <w:rsid w:val="00E24B91"/>
    <w:rsid w:val="00E254A1"/>
    <w:rsid w:val="00E25A93"/>
    <w:rsid w:val="00E2614A"/>
    <w:rsid w:val="00E2655F"/>
    <w:rsid w:val="00E26784"/>
    <w:rsid w:val="00E26BC2"/>
    <w:rsid w:val="00E27AD2"/>
    <w:rsid w:val="00E30479"/>
    <w:rsid w:val="00E309B2"/>
    <w:rsid w:val="00E328CE"/>
    <w:rsid w:val="00E32E54"/>
    <w:rsid w:val="00E32F05"/>
    <w:rsid w:val="00E32FA4"/>
    <w:rsid w:val="00E33555"/>
    <w:rsid w:val="00E33AEE"/>
    <w:rsid w:val="00E34ABC"/>
    <w:rsid w:val="00E3570E"/>
    <w:rsid w:val="00E35D57"/>
    <w:rsid w:val="00E35E70"/>
    <w:rsid w:val="00E36921"/>
    <w:rsid w:val="00E3725C"/>
    <w:rsid w:val="00E3735E"/>
    <w:rsid w:val="00E3739C"/>
    <w:rsid w:val="00E37E39"/>
    <w:rsid w:val="00E403C7"/>
    <w:rsid w:val="00E40D78"/>
    <w:rsid w:val="00E41924"/>
    <w:rsid w:val="00E41A80"/>
    <w:rsid w:val="00E4259E"/>
    <w:rsid w:val="00E42C1D"/>
    <w:rsid w:val="00E4300E"/>
    <w:rsid w:val="00E43289"/>
    <w:rsid w:val="00E44666"/>
    <w:rsid w:val="00E450B9"/>
    <w:rsid w:val="00E46176"/>
    <w:rsid w:val="00E4622E"/>
    <w:rsid w:val="00E50463"/>
    <w:rsid w:val="00E509ED"/>
    <w:rsid w:val="00E521E8"/>
    <w:rsid w:val="00E52A37"/>
    <w:rsid w:val="00E52A7A"/>
    <w:rsid w:val="00E5373D"/>
    <w:rsid w:val="00E53A91"/>
    <w:rsid w:val="00E53D2C"/>
    <w:rsid w:val="00E53F9D"/>
    <w:rsid w:val="00E544D6"/>
    <w:rsid w:val="00E549A9"/>
    <w:rsid w:val="00E54CF1"/>
    <w:rsid w:val="00E54EEE"/>
    <w:rsid w:val="00E54F81"/>
    <w:rsid w:val="00E551EC"/>
    <w:rsid w:val="00E55E1D"/>
    <w:rsid w:val="00E56230"/>
    <w:rsid w:val="00E56387"/>
    <w:rsid w:val="00E56560"/>
    <w:rsid w:val="00E565B0"/>
    <w:rsid w:val="00E56A2B"/>
    <w:rsid w:val="00E56A49"/>
    <w:rsid w:val="00E56EB5"/>
    <w:rsid w:val="00E57306"/>
    <w:rsid w:val="00E5735D"/>
    <w:rsid w:val="00E5756D"/>
    <w:rsid w:val="00E60C3D"/>
    <w:rsid w:val="00E61356"/>
    <w:rsid w:val="00E6182E"/>
    <w:rsid w:val="00E61CBA"/>
    <w:rsid w:val="00E61F3F"/>
    <w:rsid w:val="00E6258E"/>
    <w:rsid w:val="00E62E0C"/>
    <w:rsid w:val="00E62EEC"/>
    <w:rsid w:val="00E62FC8"/>
    <w:rsid w:val="00E63973"/>
    <w:rsid w:val="00E63A44"/>
    <w:rsid w:val="00E63C1C"/>
    <w:rsid w:val="00E63E2F"/>
    <w:rsid w:val="00E64587"/>
    <w:rsid w:val="00E652FD"/>
    <w:rsid w:val="00E65353"/>
    <w:rsid w:val="00E65742"/>
    <w:rsid w:val="00E666FE"/>
    <w:rsid w:val="00E67774"/>
    <w:rsid w:val="00E67B7E"/>
    <w:rsid w:val="00E7036D"/>
    <w:rsid w:val="00E710D5"/>
    <w:rsid w:val="00E712D2"/>
    <w:rsid w:val="00E7174C"/>
    <w:rsid w:val="00E71C41"/>
    <w:rsid w:val="00E71EE2"/>
    <w:rsid w:val="00E7211E"/>
    <w:rsid w:val="00E729F5"/>
    <w:rsid w:val="00E72E49"/>
    <w:rsid w:val="00E72EE8"/>
    <w:rsid w:val="00E731E2"/>
    <w:rsid w:val="00E73235"/>
    <w:rsid w:val="00E73780"/>
    <w:rsid w:val="00E73B68"/>
    <w:rsid w:val="00E73C87"/>
    <w:rsid w:val="00E74246"/>
    <w:rsid w:val="00E74D2B"/>
    <w:rsid w:val="00E74DFF"/>
    <w:rsid w:val="00E74F35"/>
    <w:rsid w:val="00E753C2"/>
    <w:rsid w:val="00E753E5"/>
    <w:rsid w:val="00E75642"/>
    <w:rsid w:val="00E75FFB"/>
    <w:rsid w:val="00E764CD"/>
    <w:rsid w:val="00E76929"/>
    <w:rsid w:val="00E7695A"/>
    <w:rsid w:val="00E76CC3"/>
    <w:rsid w:val="00E76DEB"/>
    <w:rsid w:val="00E76FBB"/>
    <w:rsid w:val="00E77867"/>
    <w:rsid w:val="00E779DD"/>
    <w:rsid w:val="00E8092F"/>
    <w:rsid w:val="00E80A01"/>
    <w:rsid w:val="00E81537"/>
    <w:rsid w:val="00E8194E"/>
    <w:rsid w:val="00E81A47"/>
    <w:rsid w:val="00E82F6E"/>
    <w:rsid w:val="00E831E6"/>
    <w:rsid w:val="00E8333E"/>
    <w:rsid w:val="00E837E7"/>
    <w:rsid w:val="00E84053"/>
    <w:rsid w:val="00E8440F"/>
    <w:rsid w:val="00E84BC8"/>
    <w:rsid w:val="00E85142"/>
    <w:rsid w:val="00E85439"/>
    <w:rsid w:val="00E85A44"/>
    <w:rsid w:val="00E85D2C"/>
    <w:rsid w:val="00E85E75"/>
    <w:rsid w:val="00E85F35"/>
    <w:rsid w:val="00E87CE8"/>
    <w:rsid w:val="00E87D92"/>
    <w:rsid w:val="00E912E8"/>
    <w:rsid w:val="00E91472"/>
    <w:rsid w:val="00E92280"/>
    <w:rsid w:val="00E92A23"/>
    <w:rsid w:val="00E92A59"/>
    <w:rsid w:val="00E92AD2"/>
    <w:rsid w:val="00E9361F"/>
    <w:rsid w:val="00E93837"/>
    <w:rsid w:val="00E93D74"/>
    <w:rsid w:val="00E951A7"/>
    <w:rsid w:val="00E959D8"/>
    <w:rsid w:val="00E95B06"/>
    <w:rsid w:val="00E961BE"/>
    <w:rsid w:val="00E96507"/>
    <w:rsid w:val="00E96B45"/>
    <w:rsid w:val="00E96C76"/>
    <w:rsid w:val="00E96CC0"/>
    <w:rsid w:val="00E96D1A"/>
    <w:rsid w:val="00E976F8"/>
    <w:rsid w:val="00E97D04"/>
    <w:rsid w:val="00EA01FB"/>
    <w:rsid w:val="00EA09D8"/>
    <w:rsid w:val="00EA1066"/>
    <w:rsid w:val="00EA1174"/>
    <w:rsid w:val="00EA1839"/>
    <w:rsid w:val="00EA1DC5"/>
    <w:rsid w:val="00EA29F5"/>
    <w:rsid w:val="00EA3A48"/>
    <w:rsid w:val="00EA411F"/>
    <w:rsid w:val="00EA4CF6"/>
    <w:rsid w:val="00EA4D48"/>
    <w:rsid w:val="00EA5728"/>
    <w:rsid w:val="00EA595D"/>
    <w:rsid w:val="00EA5F45"/>
    <w:rsid w:val="00EA6BD5"/>
    <w:rsid w:val="00EA6C1D"/>
    <w:rsid w:val="00EA6E47"/>
    <w:rsid w:val="00EA7306"/>
    <w:rsid w:val="00EA7F90"/>
    <w:rsid w:val="00EB0360"/>
    <w:rsid w:val="00EB07C8"/>
    <w:rsid w:val="00EB0C09"/>
    <w:rsid w:val="00EB118E"/>
    <w:rsid w:val="00EB1617"/>
    <w:rsid w:val="00EB1E07"/>
    <w:rsid w:val="00EB22E7"/>
    <w:rsid w:val="00EB262B"/>
    <w:rsid w:val="00EB2692"/>
    <w:rsid w:val="00EB2F75"/>
    <w:rsid w:val="00EB3692"/>
    <w:rsid w:val="00EB48D2"/>
    <w:rsid w:val="00EB4CA2"/>
    <w:rsid w:val="00EB4D6E"/>
    <w:rsid w:val="00EB535F"/>
    <w:rsid w:val="00EB622E"/>
    <w:rsid w:val="00EB6558"/>
    <w:rsid w:val="00EB786A"/>
    <w:rsid w:val="00EC0F3F"/>
    <w:rsid w:val="00EC12AA"/>
    <w:rsid w:val="00EC309D"/>
    <w:rsid w:val="00EC33A4"/>
    <w:rsid w:val="00EC33BE"/>
    <w:rsid w:val="00EC41A2"/>
    <w:rsid w:val="00EC447A"/>
    <w:rsid w:val="00EC4ECB"/>
    <w:rsid w:val="00EC50C5"/>
    <w:rsid w:val="00EC52E1"/>
    <w:rsid w:val="00EC5474"/>
    <w:rsid w:val="00EC568F"/>
    <w:rsid w:val="00EC5C6E"/>
    <w:rsid w:val="00EC5C96"/>
    <w:rsid w:val="00EC619F"/>
    <w:rsid w:val="00EC62A7"/>
    <w:rsid w:val="00ED122E"/>
    <w:rsid w:val="00ED135E"/>
    <w:rsid w:val="00ED13AA"/>
    <w:rsid w:val="00ED1627"/>
    <w:rsid w:val="00ED1965"/>
    <w:rsid w:val="00ED1A13"/>
    <w:rsid w:val="00ED2399"/>
    <w:rsid w:val="00ED397D"/>
    <w:rsid w:val="00ED48AD"/>
    <w:rsid w:val="00ED4AE4"/>
    <w:rsid w:val="00ED4CC5"/>
    <w:rsid w:val="00ED529F"/>
    <w:rsid w:val="00ED5630"/>
    <w:rsid w:val="00ED5C2B"/>
    <w:rsid w:val="00ED5C5B"/>
    <w:rsid w:val="00ED668A"/>
    <w:rsid w:val="00ED6800"/>
    <w:rsid w:val="00ED6ABF"/>
    <w:rsid w:val="00ED6B00"/>
    <w:rsid w:val="00ED77C4"/>
    <w:rsid w:val="00EE0247"/>
    <w:rsid w:val="00EE0427"/>
    <w:rsid w:val="00EE050D"/>
    <w:rsid w:val="00EE0B2E"/>
    <w:rsid w:val="00EE115C"/>
    <w:rsid w:val="00EE1BD7"/>
    <w:rsid w:val="00EE2354"/>
    <w:rsid w:val="00EE250F"/>
    <w:rsid w:val="00EE2722"/>
    <w:rsid w:val="00EE2862"/>
    <w:rsid w:val="00EE2B04"/>
    <w:rsid w:val="00EE2E0E"/>
    <w:rsid w:val="00EE314F"/>
    <w:rsid w:val="00EE3CA1"/>
    <w:rsid w:val="00EE433E"/>
    <w:rsid w:val="00EE4640"/>
    <w:rsid w:val="00EE527F"/>
    <w:rsid w:val="00EE5482"/>
    <w:rsid w:val="00EE5627"/>
    <w:rsid w:val="00EE5B56"/>
    <w:rsid w:val="00EE5E45"/>
    <w:rsid w:val="00EE6986"/>
    <w:rsid w:val="00EE6E9C"/>
    <w:rsid w:val="00EE6FC8"/>
    <w:rsid w:val="00EE76DE"/>
    <w:rsid w:val="00EE7E55"/>
    <w:rsid w:val="00EF0243"/>
    <w:rsid w:val="00EF0B85"/>
    <w:rsid w:val="00EF0EA9"/>
    <w:rsid w:val="00EF105A"/>
    <w:rsid w:val="00EF1385"/>
    <w:rsid w:val="00EF192B"/>
    <w:rsid w:val="00EF1AE2"/>
    <w:rsid w:val="00EF1CB5"/>
    <w:rsid w:val="00EF1DBF"/>
    <w:rsid w:val="00EF1F7C"/>
    <w:rsid w:val="00EF21F6"/>
    <w:rsid w:val="00EF221E"/>
    <w:rsid w:val="00EF25F0"/>
    <w:rsid w:val="00EF2B05"/>
    <w:rsid w:val="00EF365E"/>
    <w:rsid w:val="00EF36D6"/>
    <w:rsid w:val="00EF3AD0"/>
    <w:rsid w:val="00EF40FD"/>
    <w:rsid w:val="00EF4307"/>
    <w:rsid w:val="00EF4506"/>
    <w:rsid w:val="00EF47BD"/>
    <w:rsid w:val="00EF4851"/>
    <w:rsid w:val="00EF4CF3"/>
    <w:rsid w:val="00EF50D4"/>
    <w:rsid w:val="00EF5265"/>
    <w:rsid w:val="00EF5310"/>
    <w:rsid w:val="00EF566E"/>
    <w:rsid w:val="00EF62CB"/>
    <w:rsid w:val="00EF634E"/>
    <w:rsid w:val="00EF68CC"/>
    <w:rsid w:val="00EF71D6"/>
    <w:rsid w:val="00EF755B"/>
    <w:rsid w:val="00EF7A67"/>
    <w:rsid w:val="00F0098A"/>
    <w:rsid w:val="00F00BFC"/>
    <w:rsid w:val="00F00F93"/>
    <w:rsid w:val="00F01A01"/>
    <w:rsid w:val="00F01B9C"/>
    <w:rsid w:val="00F028A4"/>
    <w:rsid w:val="00F0325A"/>
    <w:rsid w:val="00F0358F"/>
    <w:rsid w:val="00F036CD"/>
    <w:rsid w:val="00F03796"/>
    <w:rsid w:val="00F03EEF"/>
    <w:rsid w:val="00F03F2E"/>
    <w:rsid w:val="00F04316"/>
    <w:rsid w:val="00F04886"/>
    <w:rsid w:val="00F04C99"/>
    <w:rsid w:val="00F04F6C"/>
    <w:rsid w:val="00F050DA"/>
    <w:rsid w:val="00F057A6"/>
    <w:rsid w:val="00F0599C"/>
    <w:rsid w:val="00F05E74"/>
    <w:rsid w:val="00F061A4"/>
    <w:rsid w:val="00F06C14"/>
    <w:rsid w:val="00F07742"/>
    <w:rsid w:val="00F07FA6"/>
    <w:rsid w:val="00F1038A"/>
    <w:rsid w:val="00F1053E"/>
    <w:rsid w:val="00F106A1"/>
    <w:rsid w:val="00F10ADC"/>
    <w:rsid w:val="00F119D9"/>
    <w:rsid w:val="00F11B24"/>
    <w:rsid w:val="00F124AE"/>
    <w:rsid w:val="00F12FAE"/>
    <w:rsid w:val="00F1319D"/>
    <w:rsid w:val="00F1374F"/>
    <w:rsid w:val="00F1405E"/>
    <w:rsid w:val="00F14565"/>
    <w:rsid w:val="00F145F3"/>
    <w:rsid w:val="00F14E6B"/>
    <w:rsid w:val="00F150C2"/>
    <w:rsid w:val="00F15602"/>
    <w:rsid w:val="00F15C80"/>
    <w:rsid w:val="00F15E18"/>
    <w:rsid w:val="00F16A19"/>
    <w:rsid w:val="00F16A80"/>
    <w:rsid w:val="00F17AE8"/>
    <w:rsid w:val="00F17B4D"/>
    <w:rsid w:val="00F17E03"/>
    <w:rsid w:val="00F20F01"/>
    <w:rsid w:val="00F216C9"/>
    <w:rsid w:val="00F22319"/>
    <w:rsid w:val="00F225D2"/>
    <w:rsid w:val="00F228C4"/>
    <w:rsid w:val="00F22C90"/>
    <w:rsid w:val="00F22F23"/>
    <w:rsid w:val="00F22FFF"/>
    <w:rsid w:val="00F23419"/>
    <w:rsid w:val="00F23AAE"/>
    <w:rsid w:val="00F23AC8"/>
    <w:rsid w:val="00F24464"/>
    <w:rsid w:val="00F24F94"/>
    <w:rsid w:val="00F251DD"/>
    <w:rsid w:val="00F2548E"/>
    <w:rsid w:val="00F254E3"/>
    <w:rsid w:val="00F255DA"/>
    <w:rsid w:val="00F25BD4"/>
    <w:rsid w:val="00F260AD"/>
    <w:rsid w:val="00F26124"/>
    <w:rsid w:val="00F26410"/>
    <w:rsid w:val="00F264E0"/>
    <w:rsid w:val="00F2654B"/>
    <w:rsid w:val="00F26662"/>
    <w:rsid w:val="00F26A92"/>
    <w:rsid w:val="00F2705B"/>
    <w:rsid w:val="00F27CBF"/>
    <w:rsid w:val="00F27D7F"/>
    <w:rsid w:val="00F306AF"/>
    <w:rsid w:val="00F30E9C"/>
    <w:rsid w:val="00F30FB9"/>
    <w:rsid w:val="00F3122F"/>
    <w:rsid w:val="00F316A3"/>
    <w:rsid w:val="00F316CE"/>
    <w:rsid w:val="00F3264A"/>
    <w:rsid w:val="00F32BC0"/>
    <w:rsid w:val="00F32E9C"/>
    <w:rsid w:val="00F3347C"/>
    <w:rsid w:val="00F33F97"/>
    <w:rsid w:val="00F3467B"/>
    <w:rsid w:val="00F34738"/>
    <w:rsid w:val="00F350E7"/>
    <w:rsid w:val="00F35178"/>
    <w:rsid w:val="00F353CA"/>
    <w:rsid w:val="00F35AB1"/>
    <w:rsid w:val="00F36F9F"/>
    <w:rsid w:val="00F40956"/>
    <w:rsid w:val="00F40BBC"/>
    <w:rsid w:val="00F40CB5"/>
    <w:rsid w:val="00F40EDC"/>
    <w:rsid w:val="00F41C00"/>
    <w:rsid w:val="00F41F88"/>
    <w:rsid w:val="00F420C2"/>
    <w:rsid w:val="00F429C8"/>
    <w:rsid w:val="00F4323D"/>
    <w:rsid w:val="00F43D92"/>
    <w:rsid w:val="00F43F29"/>
    <w:rsid w:val="00F44124"/>
    <w:rsid w:val="00F44CE7"/>
    <w:rsid w:val="00F462AA"/>
    <w:rsid w:val="00F46A84"/>
    <w:rsid w:val="00F47AFB"/>
    <w:rsid w:val="00F47D60"/>
    <w:rsid w:val="00F5056C"/>
    <w:rsid w:val="00F50ECF"/>
    <w:rsid w:val="00F513CB"/>
    <w:rsid w:val="00F5144A"/>
    <w:rsid w:val="00F5147F"/>
    <w:rsid w:val="00F51AB5"/>
    <w:rsid w:val="00F52129"/>
    <w:rsid w:val="00F522C4"/>
    <w:rsid w:val="00F5230A"/>
    <w:rsid w:val="00F52E2D"/>
    <w:rsid w:val="00F53CCC"/>
    <w:rsid w:val="00F5408D"/>
    <w:rsid w:val="00F5444D"/>
    <w:rsid w:val="00F54B35"/>
    <w:rsid w:val="00F55DA1"/>
    <w:rsid w:val="00F5627F"/>
    <w:rsid w:val="00F56487"/>
    <w:rsid w:val="00F57A69"/>
    <w:rsid w:val="00F57BBE"/>
    <w:rsid w:val="00F601A0"/>
    <w:rsid w:val="00F60BD5"/>
    <w:rsid w:val="00F616C9"/>
    <w:rsid w:val="00F61C29"/>
    <w:rsid w:val="00F61EA9"/>
    <w:rsid w:val="00F62B4D"/>
    <w:rsid w:val="00F630D9"/>
    <w:rsid w:val="00F63421"/>
    <w:rsid w:val="00F6359C"/>
    <w:rsid w:val="00F641B1"/>
    <w:rsid w:val="00F64242"/>
    <w:rsid w:val="00F64356"/>
    <w:rsid w:val="00F6439C"/>
    <w:rsid w:val="00F6485B"/>
    <w:rsid w:val="00F64BFB"/>
    <w:rsid w:val="00F64F38"/>
    <w:rsid w:val="00F65C3E"/>
    <w:rsid w:val="00F65C8B"/>
    <w:rsid w:val="00F65E6A"/>
    <w:rsid w:val="00F6644F"/>
    <w:rsid w:val="00F66819"/>
    <w:rsid w:val="00F66976"/>
    <w:rsid w:val="00F66FE8"/>
    <w:rsid w:val="00F6744B"/>
    <w:rsid w:val="00F67599"/>
    <w:rsid w:val="00F67B0B"/>
    <w:rsid w:val="00F708D7"/>
    <w:rsid w:val="00F7109F"/>
    <w:rsid w:val="00F71196"/>
    <w:rsid w:val="00F7127C"/>
    <w:rsid w:val="00F72DA6"/>
    <w:rsid w:val="00F735A6"/>
    <w:rsid w:val="00F736A4"/>
    <w:rsid w:val="00F73BBF"/>
    <w:rsid w:val="00F743EF"/>
    <w:rsid w:val="00F74D3A"/>
    <w:rsid w:val="00F74F99"/>
    <w:rsid w:val="00F75B89"/>
    <w:rsid w:val="00F76598"/>
    <w:rsid w:val="00F765D6"/>
    <w:rsid w:val="00F76758"/>
    <w:rsid w:val="00F76977"/>
    <w:rsid w:val="00F77D23"/>
    <w:rsid w:val="00F80202"/>
    <w:rsid w:val="00F80664"/>
    <w:rsid w:val="00F8071F"/>
    <w:rsid w:val="00F80B02"/>
    <w:rsid w:val="00F80BC8"/>
    <w:rsid w:val="00F81C1C"/>
    <w:rsid w:val="00F81E67"/>
    <w:rsid w:val="00F81EEF"/>
    <w:rsid w:val="00F8251E"/>
    <w:rsid w:val="00F8275A"/>
    <w:rsid w:val="00F835A8"/>
    <w:rsid w:val="00F837B2"/>
    <w:rsid w:val="00F83EA5"/>
    <w:rsid w:val="00F83F54"/>
    <w:rsid w:val="00F843D2"/>
    <w:rsid w:val="00F852BF"/>
    <w:rsid w:val="00F8542D"/>
    <w:rsid w:val="00F8599F"/>
    <w:rsid w:val="00F85A05"/>
    <w:rsid w:val="00F85B96"/>
    <w:rsid w:val="00F85F93"/>
    <w:rsid w:val="00F86037"/>
    <w:rsid w:val="00F861E6"/>
    <w:rsid w:val="00F86EDE"/>
    <w:rsid w:val="00F8701D"/>
    <w:rsid w:val="00F8715F"/>
    <w:rsid w:val="00F90DE7"/>
    <w:rsid w:val="00F91C39"/>
    <w:rsid w:val="00F91E18"/>
    <w:rsid w:val="00F9254F"/>
    <w:rsid w:val="00F935AB"/>
    <w:rsid w:val="00F93B08"/>
    <w:rsid w:val="00F94005"/>
    <w:rsid w:val="00F9427A"/>
    <w:rsid w:val="00F943F7"/>
    <w:rsid w:val="00F946E5"/>
    <w:rsid w:val="00F94EC1"/>
    <w:rsid w:val="00F95707"/>
    <w:rsid w:val="00F95B6E"/>
    <w:rsid w:val="00F95F8F"/>
    <w:rsid w:val="00F96415"/>
    <w:rsid w:val="00F9679B"/>
    <w:rsid w:val="00F96DFB"/>
    <w:rsid w:val="00FA0221"/>
    <w:rsid w:val="00FA09B4"/>
    <w:rsid w:val="00FA0B12"/>
    <w:rsid w:val="00FA2015"/>
    <w:rsid w:val="00FA24F3"/>
    <w:rsid w:val="00FA2C21"/>
    <w:rsid w:val="00FA360B"/>
    <w:rsid w:val="00FA3C05"/>
    <w:rsid w:val="00FA45D7"/>
    <w:rsid w:val="00FA4AA1"/>
    <w:rsid w:val="00FA4E50"/>
    <w:rsid w:val="00FA4FD7"/>
    <w:rsid w:val="00FA6030"/>
    <w:rsid w:val="00FA615E"/>
    <w:rsid w:val="00FA69B3"/>
    <w:rsid w:val="00FA6A16"/>
    <w:rsid w:val="00FA6E47"/>
    <w:rsid w:val="00FA790B"/>
    <w:rsid w:val="00FB144C"/>
    <w:rsid w:val="00FB192B"/>
    <w:rsid w:val="00FB1A23"/>
    <w:rsid w:val="00FB25AC"/>
    <w:rsid w:val="00FB263A"/>
    <w:rsid w:val="00FB280D"/>
    <w:rsid w:val="00FB2F70"/>
    <w:rsid w:val="00FB3103"/>
    <w:rsid w:val="00FB329C"/>
    <w:rsid w:val="00FB3636"/>
    <w:rsid w:val="00FB38D6"/>
    <w:rsid w:val="00FB3912"/>
    <w:rsid w:val="00FB3B26"/>
    <w:rsid w:val="00FB50C1"/>
    <w:rsid w:val="00FB5AD3"/>
    <w:rsid w:val="00FB6D67"/>
    <w:rsid w:val="00FB760F"/>
    <w:rsid w:val="00FC02AF"/>
    <w:rsid w:val="00FC03EA"/>
    <w:rsid w:val="00FC0D4D"/>
    <w:rsid w:val="00FC14AD"/>
    <w:rsid w:val="00FC16E9"/>
    <w:rsid w:val="00FC1C2B"/>
    <w:rsid w:val="00FC3175"/>
    <w:rsid w:val="00FC3B0F"/>
    <w:rsid w:val="00FC4C19"/>
    <w:rsid w:val="00FC59BD"/>
    <w:rsid w:val="00FC6BB7"/>
    <w:rsid w:val="00FC7333"/>
    <w:rsid w:val="00FC74F5"/>
    <w:rsid w:val="00FC7DA3"/>
    <w:rsid w:val="00FD01AB"/>
    <w:rsid w:val="00FD080A"/>
    <w:rsid w:val="00FD092F"/>
    <w:rsid w:val="00FD0C9F"/>
    <w:rsid w:val="00FD103B"/>
    <w:rsid w:val="00FD116E"/>
    <w:rsid w:val="00FD1AA9"/>
    <w:rsid w:val="00FD1CD1"/>
    <w:rsid w:val="00FD1D7A"/>
    <w:rsid w:val="00FD2B0A"/>
    <w:rsid w:val="00FD2EA9"/>
    <w:rsid w:val="00FD31A1"/>
    <w:rsid w:val="00FD40A4"/>
    <w:rsid w:val="00FD4983"/>
    <w:rsid w:val="00FD4B5E"/>
    <w:rsid w:val="00FD4CF0"/>
    <w:rsid w:val="00FD4CF2"/>
    <w:rsid w:val="00FD5506"/>
    <w:rsid w:val="00FD6072"/>
    <w:rsid w:val="00FD612C"/>
    <w:rsid w:val="00FD648B"/>
    <w:rsid w:val="00FD677C"/>
    <w:rsid w:val="00FD7555"/>
    <w:rsid w:val="00FD776D"/>
    <w:rsid w:val="00FD77C0"/>
    <w:rsid w:val="00FD7CD3"/>
    <w:rsid w:val="00FD7ECB"/>
    <w:rsid w:val="00FE004A"/>
    <w:rsid w:val="00FE0248"/>
    <w:rsid w:val="00FE05AB"/>
    <w:rsid w:val="00FE05EF"/>
    <w:rsid w:val="00FE0B23"/>
    <w:rsid w:val="00FE0BF7"/>
    <w:rsid w:val="00FE10AD"/>
    <w:rsid w:val="00FE221F"/>
    <w:rsid w:val="00FE244D"/>
    <w:rsid w:val="00FE25E2"/>
    <w:rsid w:val="00FE2913"/>
    <w:rsid w:val="00FE2DEA"/>
    <w:rsid w:val="00FE366D"/>
    <w:rsid w:val="00FE39C5"/>
    <w:rsid w:val="00FE3C12"/>
    <w:rsid w:val="00FE4B71"/>
    <w:rsid w:val="00FE4C67"/>
    <w:rsid w:val="00FE4D6E"/>
    <w:rsid w:val="00FE4FE6"/>
    <w:rsid w:val="00FE50DD"/>
    <w:rsid w:val="00FE543A"/>
    <w:rsid w:val="00FE5881"/>
    <w:rsid w:val="00FE606C"/>
    <w:rsid w:val="00FE661B"/>
    <w:rsid w:val="00FE6B95"/>
    <w:rsid w:val="00FE6BAD"/>
    <w:rsid w:val="00FE6BF7"/>
    <w:rsid w:val="00FE6D92"/>
    <w:rsid w:val="00FE6EDA"/>
    <w:rsid w:val="00FE7EB2"/>
    <w:rsid w:val="00FF087C"/>
    <w:rsid w:val="00FF0B7A"/>
    <w:rsid w:val="00FF12EB"/>
    <w:rsid w:val="00FF19DE"/>
    <w:rsid w:val="00FF1C15"/>
    <w:rsid w:val="00FF1F2D"/>
    <w:rsid w:val="00FF24F5"/>
    <w:rsid w:val="00FF2F3A"/>
    <w:rsid w:val="00FF3050"/>
    <w:rsid w:val="00FF35A2"/>
    <w:rsid w:val="00FF3700"/>
    <w:rsid w:val="00FF3E4D"/>
    <w:rsid w:val="00FF460A"/>
    <w:rsid w:val="00FF4A86"/>
    <w:rsid w:val="00FF4BDB"/>
    <w:rsid w:val="00FF536B"/>
    <w:rsid w:val="00FF53CB"/>
    <w:rsid w:val="00FF5533"/>
    <w:rsid w:val="00FF57F3"/>
    <w:rsid w:val="00FF656E"/>
    <w:rsid w:val="00FF6ED1"/>
    <w:rsid w:val="0B7A4386"/>
    <w:rsid w:val="24CBD1F2"/>
    <w:rsid w:val="2F759A7D"/>
    <w:rsid w:val="33AD0BEF"/>
    <w:rsid w:val="46484C1F"/>
    <w:rsid w:val="5EF6E638"/>
    <w:rsid w:val="743A6D9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FDE71"/>
  <w15:chartTrackingRefBased/>
  <w15:docId w15:val="{7B55358B-D757-4845-8BF0-534FD931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62B"/>
    <w:pPr>
      <w:spacing w:line="336" w:lineRule="auto"/>
      <w:jc w:val="both"/>
    </w:pPr>
    <w:rPr>
      <w:rFonts w:ascii="Arial" w:hAnsi="Arial" w:cs="Arial"/>
      <w:sz w:val="24"/>
      <w:szCs w:val="24"/>
    </w:rPr>
  </w:style>
  <w:style w:type="paragraph" w:styleId="Heading1">
    <w:name w:val="heading 1"/>
    <w:basedOn w:val="Normal"/>
    <w:next w:val="Normal"/>
    <w:link w:val="Heading1Char"/>
    <w:uiPriority w:val="9"/>
    <w:qFormat/>
    <w:rsid w:val="00EB262B"/>
    <w:pPr>
      <w:keepNext/>
      <w:keepLines/>
      <w:spacing w:before="240" w:after="240"/>
      <w:jc w:val="left"/>
      <w:outlineLvl w:val="0"/>
    </w:pPr>
    <w:rPr>
      <w:rFonts w:eastAsiaTheme="majorEastAsia"/>
      <w:b/>
      <w:bCs/>
      <w:color w:val="762123"/>
      <w:sz w:val="32"/>
      <w:szCs w:val="32"/>
    </w:rPr>
  </w:style>
  <w:style w:type="paragraph" w:styleId="Heading2">
    <w:name w:val="heading 2"/>
    <w:basedOn w:val="Normal"/>
    <w:next w:val="Normal"/>
    <w:link w:val="Heading2Char"/>
    <w:uiPriority w:val="9"/>
    <w:unhideWhenUsed/>
    <w:qFormat/>
    <w:rsid w:val="00E12115"/>
    <w:pPr>
      <w:keepNext/>
      <w:keepLines/>
      <w:spacing w:before="40" w:after="0"/>
      <w:outlineLvl w:val="1"/>
    </w:pPr>
    <w:rPr>
      <w:rFonts w:eastAsiaTheme="majorEastAsia"/>
      <w:b/>
      <w:bCs/>
      <w:color w:val="762123"/>
      <w:sz w:val="26"/>
      <w:szCs w:val="26"/>
    </w:rPr>
  </w:style>
  <w:style w:type="paragraph" w:styleId="Heading3">
    <w:name w:val="heading 3"/>
    <w:basedOn w:val="Normal"/>
    <w:next w:val="Normal"/>
    <w:link w:val="Heading3Char"/>
    <w:uiPriority w:val="9"/>
    <w:unhideWhenUsed/>
    <w:qFormat/>
    <w:rsid w:val="00E12115"/>
    <w:pPr>
      <w:outlineLvl w:val="2"/>
    </w:pPr>
    <w:rPr>
      <w:b/>
      <w:bCs/>
    </w:rPr>
  </w:style>
  <w:style w:type="paragraph" w:styleId="Heading4">
    <w:name w:val="heading 4"/>
    <w:basedOn w:val="Normal"/>
    <w:next w:val="Normal"/>
    <w:link w:val="Heading4Char"/>
    <w:uiPriority w:val="9"/>
    <w:unhideWhenUsed/>
    <w:qFormat/>
    <w:rsid w:val="00B250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62B"/>
    <w:rPr>
      <w:rFonts w:ascii="Arial" w:eastAsiaTheme="majorEastAsia" w:hAnsi="Arial" w:cs="Arial"/>
      <w:b/>
      <w:bCs/>
      <w:color w:val="762123"/>
      <w:sz w:val="32"/>
      <w:szCs w:val="32"/>
    </w:rPr>
  </w:style>
  <w:style w:type="character" w:customStyle="1" w:styleId="Heading2Char">
    <w:name w:val="Heading 2 Char"/>
    <w:basedOn w:val="DefaultParagraphFont"/>
    <w:link w:val="Heading2"/>
    <w:uiPriority w:val="9"/>
    <w:rsid w:val="00E12115"/>
    <w:rPr>
      <w:rFonts w:ascii="Arial" w:eastAsiaTheme="majorEastAsia" w:hAnsi="Arial" w:cs="Arial"/>
      <w:b/>
      <w:bCs/>
      <w:color w:val="762123"/>
      <w:sz w:val="26"/>
      <w:szCs w:val="26"/>
    </w:rPr>
  </w:style>
  <w:style w:type="character" w:customStyle="1" w:styleId="Heading3Char">
    <w:name w:val="Heading 3 Char"/>
    <w:basedOn w:val="DefaultParagraphFont"/>
    <w:link w:val="Heading3"/>
    <w:uiPriority w:val="9"/>
    <w:rsid w:val="00E12115"/>
    <w:rPr>
      <w:rFonts w:ascii="Arial" w:hAnsi="Arial" w:cs="Arial"/>
      <w:b/>
      <w:bCs/>
      <w:sz w:val="24"/>
      <w:szCs w:val="24"/>
    </w:rPr>
  </w:style>
  <w:style w:type="paragraph" w:styleId="Title">
    <w:name w:val="Title"/>
    <w:basedOn w:val="Normal"/>
    <w:next w:val="Normal"/>
    <w:link w:val="TitleChar"/>
    <w:uiPriority w:val="10"/>
    <w:qFormat/>
    <w:rsid w:val="007A4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BC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A4BC1"/>
    <w:pPr>
      <w:ind w:left="720"/>
      <w:contextualSpacing/>
    </w:pPr>
  </w:style>
  <w:style w:type="paragraph" w:styleId="FootnoteText">
    <w:name w:val="footnote text"/>
    <w:aliases w:val="5_G"/>
    <w:basedOn w:val="Normal"/>
    <w:link w:val="FootnoteTextChar"/>
    <w:uiPriority w:val="99"/>
    <w:unhideWhenUsed/>
    <w:rsid w:val="007A4BC1"/>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7A4BC1"/>
    <w:rPr>
      <w:sz w:val="20"/>
      <w:szCs w:val="20"/>
    </w:rPr>
  </w:style>
  <w:style w:type="character" w:styleId="FootnoteReference">
    <w:name w:val="footnote reference"/>
    <w:aliases w:val="4_G"/>
    <w:basedOn w:val="DefaultParagraphFont"/>
    <w:uiPriority w:val="99"/>
    <w:unhideWhenUsed/>
    <w:rsid w:val="007A4BC1"/>
    <w:rPr>
      <w:vertAlign w:val="superscript"/>
    </w:rPr>
  </w:style>
  <w:style w:type="paragraph" w:styleId="Quote">
    <w:name w:val="Quote"/>
    <w:basedOn w:val="Normal"/>
    <w:next w:val="Normal"/>
    <w:link w:val="QuoteChar"/>
    <w:uiPriority w:val="29"/>
    <w:qFormat/>
    <w:rsid w:val="00EB262B"/>
    <w:pPr>
      <w:ind w:left="720"/>
    </w:pPr>
    <w:rPr>
      <w:i/>
      <w:iCs/>
    </w:rPr>
  </w:style>
  <w:style w:type="character" w:customStyle="1" w:styleId="QuoteChar">
    <w:name w:val="Quote Char"/>
    <w:basedOn w:val="DefaultParagraphFont"/>
    <w:link w:val="Quote"/>
    <w:uiPriority w:val="29"/>
    <w:rsid w:val="00EB262B"/>
    <w:rPr>
      <w:rFonts w:ascii="Arial" w:hAnsi="Arial" w:cs="Arial"/>
      <w:i/>
      <w:iCs/>
      <w:sz w:val="24"/>
      <w:szCs w:val="24"/>
    </w:rPr>
  </w:style>
  <w:style w:type="character" w:styleId="CommentReference">
    <w:name w:val="annotation reference"/>
    <w:basedOn w:val="DefaultParagraphFont"/>
    <w:uiPriority w:val="99"/>
    <w:semiHidden/>
    <w:unhideWhenUsed/>
    <w:rsid w:val="004647D7"/>
    <w:rPr>
      <w:sz w:val="16"/>
      <w:szCs w:val="16"/>
    </w:rPr>
  </w:style>
  <w:style w:type="paragraph" w:styleId="CommentText">
    <w:name w:val="annotation text"/>
    <w:basedOn w:val="Normal"/>
    <w:link w:val="CommentTextChar"/>
    <w:uiPriority w:val="99"/>
    <w:unhideWhenUsed/>
    <w:rsid w:val="004647D7"/>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4647D7"/>
    <w:rPr>
      <w:rFonts w:ascii="Calibri" w:hAnsi="Calibri" w:cs="Calibri"/>
      <w:sz w:val="20"/>
      <w:szCs w:val="20"/>
    </w:rPr>
  </w:style>
  <w:style w:type="paragraph" w:styleId="BalloonText">
    <w:name w:val="Balloon Text"/>
    <w:basedOn w:val="Normal"/>
    <w:link w:val="BalloonTextChar"/>
    <w:uiPriority w:val="99"/>
    <w:semiHidden/>
    <w:unhideWhenUsed/>
    <w:rsid w:val="00464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D7"/>
    <w:rPr>
      <w:rFonts w:ascii="Segoe UI" w:hAnsi="Segoe UI" w:cs="Segoe UI"/>
      <w:sz w:val="18"/>
      <w:szCs w:val="18"/>
    </w:rPr>
  </w:style>
  <w:style w:type="character" w:styleId="Hyperlink">
    <w:name w:val="Hyperlink"/>
    <w:basedOn w:val="DefaultParagraphFont"/>
    <w:uiPriority w:val="99"/>
    <w:unhideWhenUsed/>
    <w:rsid w:val="00E00A42"/>
    <w:rPr>
      <w:color w:val="0000FF"/>
      <w:u w:val="single"/>
    </w:rPr>
  </w:style>
  <w:style w:type="paragraph" w:styleId="CommentSubject">
    <w:name w:val="annotation subject"/>
    <w:basedOn w:val="CommentText"/>
    <w:next w:val="CommentText"/>
    <w:link w:val="CommentSubjectChar"/>
    <w:uiPriority w:val="99"/>
    <w:semiHidden/>
    <w:unhideWhenUsed/>
    <w:rsid w:val="001B1BEF"/>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B1BEF"/>
    <w:rPr>
      <w:rFonts w:ascii="Calibri" w:hAnsi="Calibri" w:cs="Calibri"/>
      <w:b/>
      <w:bCs/>
      <w:sz w:val="20"/>
      <w:szCs w:val="20"/>
    </w:rPr>
  </w:style>
  <w:style w:type="character" w:customStyle="1" w:styleId="normaltextrun">
    <w:name w:val="normaltextrun"/>
    <w:basedOn w:val="DefaultParagraphFont"/>
    <w:rsid w:val="00BE5CC6"/>
  </w:style>
  <w:style w:type="character" w:customStyle="1" w:styleId="eop">
    <w:name w:val="eop"/>
    <w:basedOn w:val="DefaultParagraphFont"/>
    <w:rsid w:val="00E254A1"/>
  </w:style>
  <w:style w:type="paragraph" w:customStyle="1" w:styleId="paragraph">
    <w:name w:val="paragraph"/>
    <w:basedOn w:val="Normal"/>
    <w:rsid w:val="00A3756A"/>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Heading4Char">
    <w:name w:val="Heading 4 Char"/>
    <w:basedOn w:val="DefaultParagraphFont"/>
    <w:link w:val="Heading4"/>
    <w:uiPriority w:val="9"/>
    <w:rsid w:val="00B250C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4B5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0F6"/>
  </w:style>
  <w:style w:type="paragraph" w:styleId="Footer">
    <w:name w:val="footer"/>
    <w:basedOn w:val="Normal"/>
    <w:link w:val="FooterChar"/>
    <w:uiPriority w:val="99"/>
    <w:unhideWhenUsed/>
    <w:rsid w:val="004B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0F6"/>
  </w:style>
  <w:style w:type="character" w:customStyle="1" w:styleId="spellingerror">
    <w:name w:val="spellingerror"/>
    <w:basedOn w:val="DefaultParagraphFont"/>
    <w:rsid w:val="00D7742D"/>
  </w:style>
  <w:style w:type="paragraph" w:customStyle="1" w:styleId="Default">
    <w:name w:val="Default"/>
    <w:rsid w:val="00C22FF9"/>
    <w:pPr>
      <w:autoSpaceDE w:val="0"/>
      <w:autoSpaceDN w:val="0"/>
      <w:adjustRightInd w:val="0"/>
      <w:spacing w:after="0" w:line="240" w:lineRule="auto"/>
    </w:pPr>
    <w:rPr>
      <w:rFonts w:ascii="Book Antiqua" w:hAnsi="Book Antiqua" w:cs="Book Antiqua"/>
      <w:color w:val="000000"/>
      <w:sz w:val="24"/>
      <w:szCs w:val="24"/>
    </w:rPr>
  </w:style>
  <w:style w:type="paragraph" w:customStyle="1" w:styleId="xmsonormal">
    <w:name w:val="x_msonormal"/>
    <w:basedOn w:val="Normal"/>
    <w:rsid w:val="003A1A23"/>
    <w:pPr>
      <w:spacing w:after="0" w:line="240" w:lineRule="auto"/>
    </w:pPr>
    <w:rPr>
      <w:rFonts w:ascii="Calibri" w:hAnsi="Calibri" w:cs="Calibri"/>
      <w:lang w:eastAsia="en-NZ"/>
    </w:rPr>
  </w:style>
  <w:style w:type="table" w:styleId="TableGrid">
    <w:name w:val="Table Grid"/>
    <w:basedOn w:val="TableNormal"/>
    <w:uiPriority w:val="59"/>
    <w:rsid w:val="00FE5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111C97"/>
    <w:rPr>
      <w:i/>
      <w:iCs/>
      <w:color w:val="404040" w:themeColor="text1" w:themeTint="BF"/>
    </w:rPr>
  </w:style>
  <w:style w:type="character" w:customStyle="1" w:styleId="scxw40999684">
    <w:name w:val="scxw40999684"/>
    <w:basedOn w:val="DefaultParagraphFont"/>
    <w:rsid w:val="00162E4C"/>
  </w:style>
  <w:style w:type="character" w:styleId="UnresolvedMention">
    <w:name w:val="Unresolved Mention"/>
    <w:basedOn w:val="DefaultParagraphFont"/>
    <w:uiPriority w:val="99"/>
    <w:semiHidden/>
    <w:unhideWhenUsed/>
    <w:rsid w:val="00554B5C"/>
    <w:rPr>
      <w:color w:val="605E5C"/>
      <w:shd w:val="clear" w:color="auto" w:fill="E1DFDD"/>
    </w:rPr>
  </w:style>
  <w:style w:type="character" w:styleId="FollowedHyperlink">
    <w:name w:val="FollowedHyperlink"/>
    <w:basedOn w:val="DefaultParagraphFont"/>
    <w:uiPriority w:val="99"/>
    <w:semiHidden/>
    <w:unhideWhenUsed/>
    <w:rsid w:val="00554B5C"/>
    <w:rPr>
      <w:color w:val="954F72" w:themeColor="followedHyperlink"/>
      <w:u w:val="single"/>
    </w:rPr>
  </w:style>
  <w:style w:type="character" w:styleId="Emphasis">
    <w:name w:val="Emphasis"/>
    <w:basedOn w:val="DefaultParagraphFont"/>
    <w:uiPriority w:val="20"/>
    <w:qFormat/>
    <w:rsid w:val="00DD143D"/>
    <w:rPr>
      <w:i/>
      <w:iCs/>
    </w:rPr>
  </w:style>
  <w:style w:type="paragraph" w:styleId="Revision">
    <w:name w:val="Revision"/>
    <w:hidden/>
    <w:uiPriority w:val="99"/>
    <w:semiHidden/>
    <w:rsid w:val="00DD143D"/>
    <w:pPr>
      <w:spacing w:after="0" w:line="240" w:lineRule="auto"/>
    </w:pPr>
  </w:style>
  <w:style w:type="paragraph" w:styleId="EndnoteText">
    <w:name w:val="endnote text"/>
    <w:basedOn w:val="Normal"/>
    <w:link w:val="EndnoteTextChar"/>
    <w:uiPriority w:val="99"/>
    <w:unhideWhenUsed/>
    <w:rsid w:val="00555574"/>
    <w:pPr>
      <w:spacing w:after="0" w:line="240" w:lineRule="auto"/>
    </w:pPr>
    <w:rPr>
      <w:sz w:val="20"/>
      <w:szCs w:val="20"/>
    </w:rPr>
  </w:style>
  <w:style w:type="character" w:customStyle="1" w:styleId="EndnoteTextChar">
    <w:name w:val="Endnote Text Char"/>
    <w:basedOn w:val="DefaultParagraphFont"/>
    <w:link w:val="EndnoteText"/>
    <w:uiPriority w:val="99"/>
    <w:rsid w:val="00555574"/>
    <w:rPr>
      <w:sz w:val="20"/>
      <w:szCs w:val="20"/>
    </w:rPr>
  </w:style>
  <w:style w:type="character" w:styleId="EndnoteReference">
    <w:name w:val="endnote reference"/>
    <w:basedOn w:val="DefaultParagraphFont"/>
    <w:uiPriority w:val="99"/>
    <w:semiHidden/>
    <w:unhideWhenUsed/>
    <w:rsid w:val="00555574"/>
    <w:rPr>
      <w:vertAlign w:val="superscript"/>
    </w:rPr>
  </w:style>
  <w:style w:type="paragraph" w:styleId="TOCHeading">
    <w:name w:val="TOC Heading"/>
    <w:basedOn w:val="Heading1"/>
    <w:next w:val="Normal"/>
    <w:uiPriority w:val="39"/>
    <w:unhideWhenUsed/>
    <w:qFormat/>
    <w:rsid w:val="00EB262B"/>
    <w:pPr>
      <w:spacing w:before="480" w:after="0" w:line="276" w:lineRule="auto"/>
      <w:outlineLvl w:val="9"/>
    </w:pPr>
    <w:rPr>
      <w:rFonts w:asciiTheme="majorHAnsi" w:hAnsiTheme="majorHAnsi" w:cstheme="majorBidi"/>
      <w:color w:val="2F5496" w:themeColor="accent1" w:themeShade="BF"/>
      <w:sz w:val="28"/>
      <w:szCs w:val="28"/>
      <w:lang w:val="en-US"/>
    </w:rPr>
  </w:style>
  <w:style w:type="paragraph" w:styleId="TOC1">
    <w:name w:val="toc 1"/>
    <w:basedOn w:val="Normal"/>
    <w:next w:val="Normal"/>
    <w:autoRedefine/>
    <w:uiPriority w:val="39"/>
    <w:unhideWhenUsed/>
    <w:rsid w:val="00EB262B"/>
    <w:pPr>
      <w:spacing w:before="120" w:after="0"/>
      <w:jc w:val="left"/>
    </w:pPr>
    <w:rPr>
      <w:rFonts w:asciiTheme="minorHAnsi" w:hAnsiTheme="minorHAnsi"/>
      <w:b/>
      <w:bCs/>
      <w:i/>
      <w:iCs/>
    </w:rPr>
  </w:style>
  <w:style w:type="paragraph" w:styleId="TOC2">
    <w:name w:val="toc 2"/>
    <w:basedOn w:val="Normal"/>
    <w:next w:val="Normal"/>
    <w:autoRedefine/>
    <w:uiPriority w:val="39"/>
    <w:unhideWhenUsed/>
    <w:rsid w:val="00EB262B"/>
    <w:pPr>
      <w:spacing w:before="120" w:after="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EB262B"/>
    <w:pPr>
      <w:spacing w:after="0"/>
      <w:ind w:left="480"/>
      <w:jc w:val="left"/>
    </w:pPr>
    <w:rPr>
      <w:rFonts w:asciiTheme="minorHAnsi" w:hAnsiTheme="minorHAnsi"/>
      <w:sz w:val="20"/>
      <w:szCs w:val="20"/>
    </w:rPr>
  </w:style>
  <w:style w:type="paragraph" w:styleId="TOC4">
    <w:name w:val="toc 4"/>
    <w:basedOn w:val="Normal"/>
    <w:next w:val="Normal"/>
    <w:autoRedefine/>
    <w:uiPriority w:val="39"/>
    <w:semiHidden/>
    <w:unhideWhenUsed/>
    <w:rsid w:val="00EB262B"/>
    <w:pPr>
      <w:spacing w:after="0"/>
      <w:ind w:left="720"/>
      <w:jc w:val="left"/>
    </w:pPr>
    <w:rPr>
      <w:rFonts w:asciiTheme="minorHAnsi" w:hAnsiTheme="minorHAnsi"/>
      <w:sz w:val="20"/>
      <w:szCs w:val="20"/>
    </w:rPr>
  </w:style>
  <w:style w:type="paragraph" w:styleId="TOC5">
    <w:name w:val="toc 5"/>
    <w:basedOn w:val="Normal"/>
    <w:next w:val="Normal"/>
    <w:autoRedefine/>
    <w:uiPriority w:val="39"/>
    <w:semiHidden/>
    <w:unhideWhenUsed/>
    <w:rsid w:val="00EB262B"/>
    <w:pPr>
      <w:spacing w:after="0"/>
      <w:ind w:left="960"/>
      <w:jc w:val="left"/>
    </w:pPr>
    <w:rPr>
      <w:rFonts w:asciiTheme="minorHAnsi" w:hAnsiTheme="minorHAnsi"/>
      <w:sz w:val="20"/>
      <w:szCs w:val="20"/>
    </w:rPr>
  </w:style>
  <w:style w:type="paragraph" w:styleId="TOC6">
    <w:name w:val="toc 6"/>
    <w:basedOn w:val="Normal"/>
    <w:next w:val="Normal"/>
    <w:autoRedefine/>
    <w:uiPriority w:val="39"/>
    <w:semiHidden/>
    <w:unhideWhenUsed/>
    <w:rsid w:val="00EB262B"/>
    <w:pPr>
      <w:spacing w:after="0"/>
      <w:ind w:left="1200"/>
      <w:jc w:val="left"/>
    </w:pPr>
    <w:rPr>
      <w:rFonts w:asciiTheme="minorHAnsi" w:hAnsiTheme="minorHAnsi"/>
      <w:sz w:val="20"/>
      <w:szCs w:val="20"/>
    </w:rPr>
  </w:style>
  <w:style w:type="paragraph" w:styleId="TOC7">
    <w:name w:val="toc 7"/>
    <w:basedOn w:val="Normal"/>
    <w:next w:val="Normal"/>
    <w:autoRedefine/>
    <w:uiPriority w:val="39"/>
    <w:semiHidden/>
    <w:unhideWhenUsed/>
    <w:rsid w:val="00EB262B"/>
    <w:pPr>
      <w:spacing w:after="0"/>
      <w:ind w:left="1440"/>
      <w:jc w:val="left"/>
    </w:pPr>
    <w:rPr>
      <w:rFonts w:asciiTheme="minorHAnsi" w:hAnsiTheme="minorHAnsi"/>
      <w:sz w:val="20"/>
      <w:szCs w:val="20"/>
    </w:rPr>
  </w:style>
  <w:style w:type="paragraph" w:styleId="TOC8">
    <w:name w:val="toc 8"/>
    <w:basedOn w:val="Normal"/>
    <w:next w:val="Normal"/>
    <w:autoRedefine/>
    <w:uiPriority w:val="39"/>
    <w:semiHidden/>
    <w:unhideWhenUsed/>
    <w:rsid w:val="00EB262B"/>
    <w:pPr>
      <w:spacing w:after="0"/>
      <w:ind w:left="1680"/>
      <w:jc w:val="left"/>
    </w:pPr>
    <w:rPr>
      <w:rFonts w:asciiTheme="minorHAnsi" w:hAnsiTheme="minorHAnsi"/>
      <w:sz w:val="20"/>
      <w:szCs w:val="20"/>
    </w:rPr>
  </w:style>
  <w:style w:type="paragraph" w:styleId="TOC9">
    <w:name w:val="toc 9"/>
    <w:basedOn w:val="Normal"/>
    <w:next w:val="Normal"/>
    <w:autoRedefine/>
    <w:uiPriority w:val="39"/>
    <w:semiHidden/>
    <w:unhideWhenUsed/>
    <w:rsid w:val="00EB262B"/>
    <w:pPr>
      <w:spacing w:after="0"/>
      <w:ind w:left="1920"/>
      <w:jc w:val="left"/>
    </w:pPr>
    <w:rPr>
      <w:rFonts w:asciiTheme="minorHAnsi" w:hAnsiTheme="minorHAnsi"/>
      <w:sz w:val="20"/>
      <w:szCs w:val="20"/>
    </w:rPr>
  </w:style>
  <w:style w:type="paragraph" w:styleId="Subtitle">
    <w:name w:val="Subtitle"/>
    <w:basedOn w:val="ListParagraph"/>
    <w:next w:val="Normal"/>
    <w:link w:val="SubtitleChar"/>
    <w:uiPriority w:val="11"/>
    <w:qFormat/>
    <w:rsid w:val="00E12115"/>
    <w:pPr>
      <w:numPr>
        <w:numId w:val="25"/>
      </w:numPr>
    </w:pPr>
    <w:rPr>
      <w:b/>
      <w:bCs/>
    </w:rPr>
  </w:style>
  <w:style w:type="character" w:customStyle="1" w:styleId="SubtitleChar">
    <w:name w:val="Subtitle Char"/>
    <w:basedOn w:val="DefaultParagraphFont"/>
    <w:link w:val="Subtitle"/>
    <w:uiPriority w:val="11"/>
    <w:rsid w:val="00E12115"/>
    <w:rPr>
      <w:rFonts w:ascii="Arial" w:hAnsi="Arial" w:cs="Arial"/>
      <w:b/>
      <w:bCs/>
      <w:sz w:val="24"/>
      <w:szCs w:val="24"/>
    </w:rPr>
  </w:style>
  <w:style w:type="character" w:customStyle="1" w:styleId="UnresolvedMention1">
    <w:name w:val="Unresolved Mention1"/>
    <w:basedOn w:val="DefaultParagraphFont"/>
    <w:uiPriority w:val="99"/>
    <w:semiHidden/>
    <w:unhideWhenUsed/>
    <w:rsid w:val="00187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069">
      <w:bodyDiv w:val="1"/>
      <w:marLeft w:val="0"/>
      <w:marRight w:val="0"/>
      <w:marTop w:val="0"/>
      <w:marBottom w:val="0"/>
      <w:divBdr>
        <w:top w:val="none" w:sz="0" w:space="0" w:color="auto"/>
        <w:left w:val="none" w:sz="0" w:space="0" w:color="auto"/>
        <w:bottom w:val="none" w:sz="0" w:space="0" w:color="auto"/>
        <w:right w:val="none" w:sz="0" w:space="0" w:color="auto"/>
      </w:divBdr>
    </w:div>
    <w:div w:id="310789684">
      <w:bodyDiv w:val="1"/>
      <w:marLeft w:val="0"/>
      <w:marRight w:val="0"/>
      <w:marTop w:val="0"/>
      <w:marBottom w:val="0"/>
      <w:divBdr>
        <w:top w:val="none" w:sz="0" w:space="0" w:color="auto"/>
        <w:left w:val="none" w:sz="0" w:space="0" w:color="auto"/>
        <w:bottom w:val="none" w:sz="0" w:space="0" w:color="auto"/>
        <w:right w:val="none" w:sz="0" w:space="0" w:color="auto"/>
      </w:divBdr>
      <w:divsChild>
        <w:div w:id="175729796">
          <w:marLeft w:val="0"/>
          <w:marRight w:val="0"/>
          <w:marTop w:val="0"/>
          <w:marBottom w:val="0"/>
          <w:divBdr>
            <w:top w:val="none" w:sz="0" w:space="0" w:color="auto"/>
            <w:left w:val="none" w:sz="0" w:space="0" w:color="auto"/>
            <w:bottom w:val="none" w:sz="0" w:space="0" w:color="auto"/>
            <w:right w:val="none" w:sz="0" w:space="0" w:color="auto"/>
          </w:divBdr>
        </w:div>
        <w:div w:id="723873978">
          <w:marLeft w:val="0"/>
          <w:marRight w:val="0"/>
          <w:marTop w:val="0"/>
          <w:marBottom w:val="0"/>
          <w:divBdr>
            <w:top w:val="none" w:sz="0" w:space="0" w:color="auto"/>
            <w:left w:val="none" w:sz="0" w:space="0" w:color="auto"/>
            <w:bottom w:val="none" w:sz="0" w:space="0" w:color="auto"/>
            <w:right w:val="none" w:sz="0" w:space="0" w:color="auto"/>
          </w:divBdr>
        </w:div>
        <w:div w:id="744032503">
          <w:marLeft w:val="0"/>
          <w:marRight w:val="0"/>
          <w:marTop w:val="0"/>
          <w:marBottom w:val="0"/>
          <w:divBdr>
            <w:top w:val="none" w:sz="0" w:space="0" w:color="auto"/>
            <w:left w:val="none" w:sz="0" w:space="0" w:color="auto"/>
            <w:bottom w:val="none" w:sz="0" w:space="0" w:color="auto"/>
            <w:right w:val="none" w:sz="0" w:space="0" w:color="auto"/>
          </w:divBdr>
        </w:div>
        <w:div w:id="851575297">
          <w:marLeft w:val="0"/>
          <w:marRight w:val="0"/>
          <w:marTop w:val="0"/>
          <w:marBottom w:val="0"/>
          <w:divBdr>
            <w:top w:val="none" w:sz="0" w:space="0" w:color="auto"/>
            <w:left w:val="none" w:sz="0" w:space="0" w:color="auto"/>
            <w:bottom w:val="none" w:sz="0" w:space="0" w:color="auto"/>
            <w:right w:val="none" w:sz="0" w:space="0" w:color="auto"/>
          </w:divBdr>
        </w:div>
        <w:div w:id="1036731027">
          <w:marLeft w:val="0"/>
          <w:marRight w:val="0"/>
          <w:marTop w:val="0"/>
          <w:marBottom w:val="0"/>
          <w:divBdr>
            <w:top w:val="none" w:sz="0" w:space="0" w:color="auto"/>
            <w:left w:val="none" w:sz="0" w:space="0" w:color="auto"/>
            <w:bottom w:val="none" w:sz="0" w:space="0" w:color="auto"/>
            <w:right w:val="none" w:sz="0" w:space="0" w:color="auto"/>
          </w:divBdr>
        </w:div>
        <w:div w:id="1648237875">
          <w:marLeft w:val="0"/>
          <w:marRight w:val="0"/>
          <w:marTop w:val="0"/>
          <w:marBottom w:val="0"/>
          <w:divBdr>
            <w:top w:val="none" w:sz="0" w:space="0" w:color="auto"/>
            <w:left w:val="none" w:sz="0" w:space="0" w:color="auto"/>
            <w:bottom w:val="none" w:sz="0" w:space="0" w:color="auto"/>
            <w:right w:val="none" w:sz="0" w:space="0" w:color="auto"/>
          </w:divBdr>
        </w:div>
        <w:div w:id="2008702312">
          <w:marLeft w:val="0"/>
          <w:marRight w:val="0"/>
          <w:marTop w:val="0"/>
          <w:marBottom w:val="0"/>
          <w:divBdr>
            <w:top w:val="none" w:sz="0" w:space="0" w:color="auto"/>
            <w:left w:val="none" w:sz="0" w:space="0" w:color="auto"/>
            <w:bottom w:val="none" w:sz="0" w:space="0" w:color="auto"/>
            <w:right w:val="none" w:sz="0" w:space="0" w:color="auto"/>
          </w:divBdr>
        </w:div>
      </w:divsChild>
    </w:div>
    <w:div w:id="796072894">
      <w:bodyDiv w:val="1"/>
      <w:marLeft w:val="0"/>
      <w:marRight w:val="0"/>
      <w:marTop w:val="0"/>
      <w:marBottom w:val="0"/>
      <w:divBdr>
        <w:top w:val="none" w:sz="0" w:space="0" w:color="auto"/>
        <w:left w:val="none" w:sz="0" w:space="0" w:color="auto"/>
        <w:bottom w:val="none" w:sz="0" w:space="0" w:color="auto"/>
        <w:right w:val="none" w:sz="0" w:space="0" w:color="auto"/>
      </w:divBdr>
    </w:div>
    <w:div w:id="808089665">
      <w:bodyDiv w:val="1"/>
      <w:marLeft w:val="0"/>
      <w:marRight w:val="0"/>
      <w:marTop w:val="0"/>
      <w:marBottom w:val="0"/>
      <w:divBdr>
        <w:top w:val="none" w:sz="0" w:space="0" w:color="auto"/>
        <w:left w:val="none" w:sz="0" w:space="0" w:color="auto"/>
        <w:bottom w:val="none" w:sz="0" w:space="0" w:color="auto"/>
        <w:right w:val="none" w:sz="0" w:space="0" w:color="auto"/>
      </w:divBdr>
    </w:div>
    <w:div w:id="1235553291">
      <w:bodyDiv w:val="1"/>
      <w:marLeft w:val="0"/>
      <w:marRight w:val="0"/>
      <w:marTop w:val="0"/>
      <w:marBottom w:val="0"/>
      <w:divBdr>
        <w:top w:val="none" w:sz="0" w:space="0" w:color="auto"/>
        <w:left w:val="none" w:sz="0" w:space="0" w:color="auto"/>
        <w:bottom w:val="none" w:sz="0" w:space="0" w:color="auto"/>
        <w:right w:val="none" w:sz="0" w:space="0" w:color="auto"/>
      </w:divBdr>
    </w:div>
    <w:div w:id="1299798339">
      <w:bodyDiv w:val="1"/>
      <w:marLeft w:val="0"/>
      <w:marRight w:val="0"/>
      <w:marTop w:val="0"/>
      <w:marBottom w:val="0"/>
      <w:divBdr>
        <w:top w:val="none" w:sz="0" w:space="0" w:color="auto"/>
        <w:left w:val="none" w:sz="0" w:space="0" w:color="auto"/>
        <w:bottom w:val="none" w:sz="0" w:space="0" w:color="auto"/>
        <w:right w:val="none" w:sz="0" w:space="0" w:color="auto"/>
      </w:divBdr>
    </w:div>
    <w:div w:id="1638342246">
      <w:bodyDiv w:val="1"/>
      <w:marLeft w:val="0"/>
      <w:marRight w:val="0"/>
      <w:marTop w:val="0"/>
      <w:marBottom w:val="0"/>
      <w:divBdr>
        <w:top w:val="none" w:sz="0" w:space="0" w:color="auto"/>
        <w:left w:val="none" w:sz="0" w:space="0" w:color="auto"/>
        <w:bottom w:val="none" w:sz="0" w:space="0" w:color="auto"/>
        <w:right w:val="none" w:sz="0" w:space="0" w:color="auto"/>
      </w:divBdr>
    </w:div>
    <w:div w:id="1720201810">
      <w:bodyDiv w:val="1"/>
      <w:marLeft w:val="0"/>
      <w:marRight w:val="0"/>
      <w:marTop w:val="0"/>
      <w:marBottom w:val="0"/>
      <w:divBdr>
        <w:top w:val="none" w:sz="0" w:space="0" w:color="auto"/>
        <w:left w:val="none" w:sz="0" w:space="0" w:color="auto"/>
        <w:bottom w:val="none" w:sz="0" w:space="0" w:color="auto"/>
        <w:right w:val="none" w:sz="0" w:space="0" w:color="auto"/>
      </w:divBdr>
    </w:div>
    <w:div w:id="1888368459">
      <w:bodyDiv w:val="1"/>
      <w:marLeft w:val="0"/>
      <w:marRight w:val="0"/>
      <w:marTop w:val="0"/>
      <w:marBottom w:val="0"/>
      <w:divBdr>
        <w:top w:val="none" w:sz="0" w:space="0" w:color="auto"/>
        <w:left w:val="none" w:sz="0" w:space="0" w:color="auto"/>
        <w:bottom w:val="none" w:sz="0" w:space="0" w:color="auto"/>
        <w:right w:val="none" w:sz="0" w:space="0" w:color="auto"/>
      </w:divBdr>
    </w:div>
    <w:div w:id="1910842817">
      <w:bodyDiv w:val="1"/>
      <w:marLeft w:val="0"/>
      <w:marRight w:val="0"/>
      <w:marTop w:val="0"/>
      <w:marBottom w:val="0"/>
      <w:divBdr>
        <w:top w:val="none" w:sz="0" w:space="0" w:color="auto"/>
        <w:left w:val="none" w:sz="0" w:space="0" w:color="auto"/>
        <w:bottom w:val="none" w:sz="0" w:space="0" w:color="auto"/>
        <w:right w:val="none" w:sz="0" w:space="0" w:color="auto"/>
      </w:divBdr>
      <w:divsChild>
        <w:div w:id="90898817">
          <w:marLeft w:val="0"/>
          <w:marRight w:val="0"/>
          <w:marTop w:val="0"/>
          <w:marBottom w:val="0"/>
          <w:divBdr>
            <w:top w:val="none" w:sz="0" w:space="0" w:color="auto"/>
            <w:left w:val="none" w:sz="0" w:space="0" w:color="auto"/>
            <w:bottom w:val="none" w:sz="0" w:space="0" w:color="auto"/>
            <w:right w:val="none" w:sz="0" w:space="0" w:color="auto"/>
          </w:divBdr>
        </w:div>
        <w:div w:id="736519412">
          <w:marLeft w:val="0"/>
          <w:marRight w:val="0"/>
          <w:marTop w:val="0"/>
          <w:marBottom w:val="0"/>
          <w:divBdr>
            <w:top w:val="none" w:sz="0" w:space="0" w:color="auto"/>
            <w:left w:val="none" w:sz="0" w:space="0" w:color="auto"/>
            <w:bottom w:val="none" w:sz="0" w:space="0" w:color="auto"/>
            <w:right w:val="none" w:sz="0" w:space="0" w:color="auto"/>
          </w:divBdr>
        </w:div>
        <w:div w:id="1148059749">
          <w:marLeft w:val="0"/>
          <w:marRight w:val="0"/>
          <w:marTop w:val="0"/>
          <w:marBottom w:val="0"/>
          <w:divBdr>
            <w:top w:val="none" w:sz="0" w:space="0" w:color="auto"/>
            <w:left w:val="none" w:sz="0" w:space="0" w:color="auto"/>
            <w:bottom w:val="none" w:sz="0" w:space="0" w:color="auto"/>
            <w:right w:val="none" w:sz="0" w:space="0" w:color="auto"/>
          </w:divBdr>
        </w:div>
        <w:div w:id="1282418971">
          <w:marLeft w:val="0"/>
          <w:marRight w:val="0"/>
          <w:marTop w:val="0"/>
          <w:marBottom w:val="0"/>
          <w:divBdr>
            <w:top w:val="none" w:sz="0" w:space="0" w:color="auto"/>
            <w:left w:val="none" w:sz="0" w:space="0" w:color="auto"/>
            <w:bottom w:val="none" w:sz="0" w:space="0" w:color="auto"/>
            <w:right w:val="none" w:sz="0" w:space="0" w:color="auto"/>
          </w:divBdr>
        </w:div>
        <w:div w:id="1494569658">
          <w:marLeft w:val="0"/>
          <w:marRight w:val="0"/>
          <w:marTop w:val="0"/>
          <w:marBottom w:val="0"/>
          <w:divBdr>
            <w:top w:val="none" w:sz="0" w:space="0" w:color="auto"/>
            <w:left w:val="none" w:sz="0" w:space="0" w:color="auto"/>
            <w:bottom w:val="none" w:sz="0" w:space="0" w:color="auto"/>
            <w:right w:val="none" w:sz="0" w:space="0" w:color="auto"/>
          </w:divBdr>
        </w:div>
      </w:divsChild>
    </w:div>
    <w:div w:id="20774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ustomXml" Target="ink/ink3.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forms.justice.govt.nz/search/Documents/WT/wt_DOC_70469266/Wai%202417%2C%20A010.pdf" TargetMode="External"/><Relationship Id="rId18" Type="http://schemas.openxmlformats.org/officeDocument/2006/relationships/hyperlink" Target="https://forms.justice.govt.nz/search/Documents/WT/wt_DOC_135986487/Tu%20Mai%20te%20Rangi%20W.pdf" TargetMode="External"/><Relationship Id="rId26" Type="http://schemas.openxmlformats.org/officeDocument/2006/relationships/hyperlink" Target="https://undocs.org/CCPR/C/21/Rev.1/Add.5" TargetMode="External"/><Relationship Id="rId39" Type="http://schemas.openxmlformats.org/officeDocument/2006/relationships/hyperlink" Target="https://documents-dds-ny.un.org/doc/UNDOC/GEN/G18/245/94/PDF/G1824594.pdf?OpenElement" TargetMode="External"/><Relationship Id="rId21" Type="http://schemas.openxmlformats.org/officeDocument/2006/relationships/hyperlink" Target="https://documents-dds-ny.un.org/doc/UNDOC/GEN/G06/118/36/PDF/G0611836.pdf?OpenElement" TargetMode="External"/><Relationship Id="rId34" Type="http://schemas.openxmlformats.org/officeDocument/2006/relationships/hyperlink" Target="https://www.undocs.org/a/hrc/18/42" TargetMode="External"/><Relationship Id="rId42" Type="http://schemas.openxmlformats.org/officeDocument/2006/relationships/hyperlink" Target="https://www.unglobalcompact.org/docs/issues_doc/human_rights/Human_Rights_Working_Group/FPIC_Indigenous_Peoples_GPN.pdf" TargetMode="External"/><Relationship Id="rId7" Type="http://schemas.openxmlformats.org/officeDocument/2006/relationships/hyperlink" Target="https://tbinternet.ohchr.org/Treaties/CERD/Shared%20Documents/NZL/INT_CERD_NGO_NZL_28088_E.pdf" TargetMode="External"/><Relationship Id="rId2" Type="http://schemas.openxmlformats.org/officeDocument/2006/relationships/hyperlink" Target="https://forms.justice.govt.nz/search/Documents/WT/wt_DOC_68495207/The%20Manukau%20Report%201985.pdf" TargetMode="External"/><Relationship Id="rId16" Type="http://schemas.openxmlformats.org/officeDocument/2006/relationships/hyperlink" Target="https://forms.justice.govt.nz/search/Documents/WT/wt_DOC_101113166/He%20Kura%20Whenua%20ka%20Rokohanga%20W.pdf" TargetMode="External"/><Relationship Id="rId20" Type="http://schemas.openxmlformats.org/officeDocument/2006/relationships/hyperlink" Target="https://www.undocs.org/a/hrc/emrip/2019/3" TargetMode="External"/><Relationship Id="rId29" Type="http://schemas.openxmlformats.org/officeDocument/2006/relationships/hyperlink" Target="https://www.undocs.org/a/hrc/15/35" TargetMode="External"/><Relationship Id="rId41" Type="http://schemas.openxmlformats.org/officeDocument/2006/relationships/hyperlink" Target="https://www.ohchr.org/documents/publications/GuidingprinciplesBusinesshr_eN.pdf" TargetMode="External"/><Relationship Id="rId1" Type="http://schemas.openxmlformats.org/officeDocument/2006/relationships/hyperlink" Target="https://www.parliament.nz/resource/en-NZ/SCR_89650/941b97691a598670df28a53d0db22f3a8d5a12d4" TargetMode="External"/><Relationship Id="rId6" Type="http://schemas.openxmlformats.org/officeDocument/2006/relationships/hyperlink" Target="https://www.parliament.nz/resource/en-NZ/SCR_89650/941b97691a598670df28a53d0db22f3a8d5a12d4" TargetMode="External"/><Relationship Id="rId11" Type="http://schemas.openxmlformats.org/officeDocument/2006/relationships/hyperlink" Target="https://www.courtsofnz.govt.nz/speechpapers/Williams%20J%20Harkness%20Henry%20Lecture%20Lex%20Aotearoa.pdf/at_download/file" TargetMode="External"/><Relationship Id="rId24" Type="http://schemas.openxmlformats.org/officeDocument/2006/relationships/hyperlink" Target="https://www2.ohchr.org/english/bodies/crc/docs/GC.11_indigenous_New.pdf" TargetMode="External"/><Relationship Id="rId32" Type="http://schemas.openxmlformats.org/officeDocument/2006/relationships/hyperlink" Target="http://docstore.ohchr.org/SelfServices/FilesHandler.ashx?enc=4slQ6QSmlBEDzFEovLCuW1a0Szab0oXTdImnsJZZVQc5ReG9hKvddWC2ML5U76E63nT%2BeY%2BtmSVIRS0ynN0q4EDmpjJye7rC1DxEtC%2FGxx7WLBcmnxGwpWSXy0fmnHDS" TargetMode="External"/><Relationship Id="rId37" Type="http://schemas.openxmlformats.org/officeDocument/2006/relationships/hyperlink" Target="https://www.waitangitribunal.govt.nz/treaty-of-waitangi/principles-of-the-treaty/" TargetMode="External"/><Relationship Id="rId40" Type="http://schemas.openxmlformats.org/officeDocument/2006/relationships/hyperlink" Target="https://www.refworld.org/pdfid/53f1d89c4.pdf" TargetMode="External"/><Relationship Id="rId5" Type="http://schemas.openxmlformats.org/officeDocument/2006/relationships/hyperlink" Target="https://www.protectihumatao.com/" TargetMode="External"/><Relationship Id="rId15" Type="http://schemas.openxmlformats.org/officeDocument/2006/relationships/hyperlink" Target="https://forms.justice.govt.nz/search/Documents/WT/wt_DOC_85007148/Maori%20Council%20ReportW.pdf" TargetMode="External"/><Relationship Id="rId23" Type="http://schemas.openxmlformats.org/officeDocument/2006/relationships/hyperlink" Target="http://docstore.ohchr.org/SelfServices/FilesHandler.ashx?enc=4slQ6QSmlBEDzFEovLCuW1a0Szab0oXTdImnsJZZVQc5ReG9hKvddWC2ML5U76E63nT%2BeY%2BtmSVIRS0ynN0q4EDmpjJye7rC1DxEtC%2FGxx7WLBcmnxGwpWSXy0fmnHDS" TargetMode="External"/><Relationship Id="rId28" Type="http://schemas.openxmlformats.org/officeDocument/2006/relationships/hyperlink" Target="http://docstore.ohchr.org/SelfServices/FilesHandler.ashx?enc=4slQ6QSmlBEDzFEovLCuW1a0Szab0oXTdImnsJZZVQc5ReG9hKvddWC2ML5U76E63nT%2BeY%2BtmSVIRS0ynN0q4EDmpjJye7rC1DxEtC%2FGxx7WLBcmnxGwpWSXy0fmnHDS" TargetMode="External"/><Relationship Id="rId36" Type="http://schemas.openxmlformats.org/officeDocument/2006/relationships/hyperlink" Target="https://forms.justice.govt.nz/search/Documents/WT/wt_DOC_68000605/Foreshore.pdf" TargetMode="External"/><Relationship Id="rId10" Type="http://schemas.openxmlformats.org/officeDocument/2006/relationships/hyperlink" Target="http://www.converge.org.nz/pma/MatikeMaiAotearoaReport.pdf" TargetMode="External"/><Relationship Id="rId19" Type="http://schemas.openxmlformats.org/officeDocument/2006/relationships/hyperlink" Target="https://documents-dds-ny.un.org/doc/UNDOC/GEN/G18/245/94/PDF/G1824594.pdf?OpenElement" TargetMode="External"/><Relationship Id="rId31" Type="http://schemas.openxmlformats.org/officeDocument/2006/relationships/hyperlink" Target="https://www.undocs.org/a/hrc/18/42" TargetMode="External"/><Relationship Id="rId44" Type="http://schemas.openxmlformats.org/officeDocument/2006/relationships/hyperlink" Target="https://spcommreports.ohchr.org/TMResultsBase/DownLoadPublicCommunicationFile?gId=24461" TargetMode="External"/><Relationship Id="rId4" Type="http://schemas.openxmlformats.org/officeDocument/2006/relationships/hyperlink" Target="https://www.parliament.nz/resource/en-NZ/SCR_89650/941b97691a598670df28a53d0db22f3a8d5a12d4" TargetMode="External"/><Relationship Id="rId9" Type="http://schemas.openxmlformats.org/officeDocument/2006/relationships/hyperlink" Target="https://www.parliament.nz/resource/en-NZ/52SCMA_ADV_85179_MA2490/e24efd507e7c6d39cb56cfc074cba42ec181c471" TargetMode="External"/><Relationship Id="rId14" Type="http://schemas.openxmlformats.org/officeDocument/2006/relationships/hyperlink" Target="https://forms.justice.govt.nz/search/Documents/WT/wt_DOC_68356416/KoAotearoaTeneiTT2Vol1W.pdf" TargetMode="External"/><Relationship Id="rId22" Type="http://schemas.openxmlformats.org/officeDocument/2006/relationships/hyperlink" Target="https://www.ohchr.org/Documents/Issues/IPeoples/SR/A-HRC-18-35-Add4_en.pdf" TargetMode="External"/><Relationship Id="rId27" Type="http://schemas.openxmlformats.org/officeDocument/2006/relationships/hyperlink" Target="https://www.noted.co.nz/currently/social-issues/ihumatao-maori-heritage-sites-nz-protection/" TargetMode="External"/><Relationship Id="rId30" Type="http://schemas.openxmlformats.org/officeDocument/2006/relationships/hyperlink" Target="C://Users/lauriem/Downloads/A_HRC_EMRIP_2011_2-EN.pdf" TargetMode="External"/><Relationship Id="rId35" Type="http://schemas.openxmlformats.org/officeDocument/2006/relationships/hyperlink" Target="https://documents-dds-ny.un.org/doc/UNDOC/GEN/G18/245/94/PDF/G1824594.pdf?OpenElement" TargetMode="External"/><Relationship Id="rId43" Type="http://schemas.openxmlformats.org/officeDocument/2006/relationships/hyperlink" Target="https://documents-dds-ny.un.org/doc/UNDOC/GEN/G18/245/94/PDF/G1824594.pdf?OpenElement" TargetMode="External"/><Relationship Id="rId8" Type="http://schemas.openxmlformats.org/officeDocument/2006/relationships/hyperlink" Target="https://spcommreports.ohchr.org/TMResultsBase/DownLoadPublicCommunicationFile?gId=24461" TargetMode="External"/><Relationship Id="rId3" Type="http://schemas.openxmlformats.org/officeDocument/2006/relationships/hyperlink" Target="https://www.parliament.nz/resource/en-NZ/SCR_89650/941b97691a598670df28a53d0db22f3a8d5a12d4" TargetMode="External"/><Relationship Id="rId12" Type="http://schemas.openxmlformats.org/officeDocument/2006/relationships/hyperlink" Target="https://forms.justice.govt.nz/search/Documents/WT/wt_DOC_68356416/KoAotearoaTeneiTT2Vol1W.pdf" TargetMode="External"/><Relationship Id="rId17" Type="http://schemas.openxmlformats.org/officeDocument/2006/relationships/hyperlink" Target="https://forms.justice.govt.nz/search/Documents/WT/wt_DOC_68356054/KoAotearoaTeneiTT1W.pdf" TargetMode="External"/><Relationship Id="rId25" Type="http://schemas.openxmlformats.org/officeDocument/2006/relationships/hyperlink" Target="http://www.converge.org.nz/pma/MatikeMaiAotearoaReport.pdf" TargetMode="External"/><Relationship Id="rId33" Type="http://schemas.openxmlformats.org/officeDocument/2006/relationships/hyperlink" Target="https://documents-dds-ny.un.org/doc/UNDOC/GEN/G18/245/94/PDF/G1824594.pdf?OpenElement" TargetMode="External"/><Relationship Id="rId38" Type="http://schemas.openxmlformats.org/officeDocument/2006/relationships/hyperlink" Target="C://Users/lauriem/Downloads/cerd%20(1).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8-13T04:16:44.834"/>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8-13T04:24:44.871"/>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8-13T04:24:44.141"/>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3236c80-d5eb-4e66-a4a8-f567ee67a9c6" xsi:nil="true"/>
    <TaxCatchAll xmlns="14bf6e64-41b1-4008-8b31-81e768f35d2f">
      <Value>311</Value>
    </TaxCatchAll>
    <i0f84bba906045b4af568ee102a52dcb xmlns="14bf6e64-41b1-4008-8b31-81e768f35d2f">
      <Terms xmlns="http://schemas.microsoft.com/office/infopath/2007/PartnerControls">
        <TermInfo xmlns="http://schemas.microsoft.com/office/infopath/2007/PartnerControls">
          <TermName xmlns="http://schemas.microsoft.com/office/infopath/2007/PartnerControls">Advocacy Education ＆ Advice</TermName>
          <TermId xmlns="http://schemas.microsoft.com/office/infopath/2007/PartnerControls">8cf4d9b3-e259-44c3-913a-cdfdfa0ec6fd</TermId>
        </TermInfo>
      </Terms>
    </i0f84bba906045b4af568ee102a52dcb>
    <FinancialYear xmlns="14bf6e64-41b1-4008-8b31-81e768f35d2f" xsi:nil="true"/>
    <Phase xmlns="d3236c80-d5eb-4e66-a4a8-f567ee67a9c6"/>
    <_dlc_DocId xmlns="14bf6e64-41b1-4008-8b31-81e768f35d2f">WVJMT6KT2DMM-1816194264-6004</_dlc_DocId>
    <_dlc_DocIdUrl xmlns="14bf6e64-41b1-4008-8b31-81e768f35d2f">
      <Url>https://hrcnz.sharepoint.com/sites/t/PromotionAdvocacyMonitoring/_layouts/15/DocIdRedir.aspx?ID=WVJMT6KT2DMM-1816194264-6004</Url>
      <Description>WVJMT6KT2DMM-1816194264-6004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1E217C0ACDCE4E8A030A0316284B28" ma:contentTypeVersion="38" ma:contentTypeDescription="Create a new document." ma:contentTypeScope="" ma:versionID="779df951d049061ee5bf3b59312a541b">
  <xsd:schema xmlns:xsd="http://www.w3.org/2001/XMLSchema" xmlns:xs="http://www.w3.org/2001/XMLSchema" xmlns:p="http://schemas.microsoft.com/office/2006/metadata/properties" xmlns:ns2="14bf6e64-41b1-4008-8b31-81e768f35d2f" xmlns:ns3="0a28ad9b-b50f-45c7-9909-b90a4cda4617" xmlns:ns4="d3236c80-d5eb-4e66-a4a8-f567ee67a9c6" targetNamespace="http://schemas.microsoft.com/office/2006/metadata/properties" ma:root="true" ma:fieldsID="41fbeccbe1f929cf9dc4f6f129afe087" ns2:_="" ns3:_="" ns4:_="">
    <xsd:import namespace="14bf6e64-41b1-4008-8b31-81e768f35d2f"/>
    <xsd:import namespace="0a28ad9b-b50f-45c7-9909-b90a4cda4617"/>
    <xsd:import namespace="d3236c80-d5eb-4e66-a4a8-f567ee67a9c6"/>
    <xsd:element name="properties">
      <xsd:complexType>
        <xsd:sequence>
          <xsd:element name="documentManagement">
            <xsd:complexType>
              <xsd:all>
                <xsd:element ref="ns2:_dlc_DocId" minOccurs="0"/>
                <xsd:element ref="ns2:_dlc_DocIdUrl" minOccurs="0"/>
                <xsd:element ref="ns2:_dlc_DocIdPersistId" minOccurs="0"/>
                <xsd:element ref="ns2:FinancialYear" minOccurs="0"/>
                <xsd:element ref="ns3:SharedWithUsers" minOccurs="0"/>
                <xsd:element ref="ns3:SharedWithDetails" minOccurs="0"/>
                <xsd:element ref="ns2:i0f84bba906045b4af568ee102a52dcb" minOccurs="0"/>
                <xsd:element ref="ns2:TaxCatchAll" minOccurs="0"/>
                <xsd:element ref="ns4:MediaServiceMetadata" minOccurs="0"/>
                <xsd:element ref="ns4:MediaServiceFastMetadata" minOccurs="0"/>
                <xsd:element ref="ns4:MediaServiceAutoTags" minOccurs="0"/>
                <xsd:element ref="ns4:Phase" minOccurs="0"/>
                <xsd:element ref="ns4:MediaServiceDateTaken" minOccurs="0"/>
                <xsd:element ref="ns4:MediaServiceOCR" minOccurs="0"/>
                <xsd:element ref="ns4:MediaServiceEventHashCode" minOccurs="0"/>
                <xsd:element ref="ns4:MediaServiceGenerationTime"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6e64-41b1-4008-8b31-81e768f35d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Year" ma:index="11" nillable="true" ma:displayName="Financial Year" ma:description="Financial Year" ma:format="Dropdown" ma:internalName="FinancialYear">
      <xsd:simpleType>
        <xsd:restriction base="dms:Choice">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i0f84bba906045b4af568ee102a52dcb" ma:index="15" nillable="true" ma:taxonomy="true" ma:internalName="i0f84bba906045b4af568ee102a52dcb" ma:taxonomyFieldName="RevIMBCS" ma:displayName="HRC Taxonomy" ma:indexed="true" ma:readOnly="false" ma:default="311;#Advocacy Education ＆ Advice|8cf4d9b3-e259-44c3-913a-cdfdfa0ec6fd" ma:fieldId="{20f84bba-9060-45b4-af56-8ee102a52dcb}" ma:sspId="b81e6a3b-7119-479f-a0a1-d1ace2e3d91a" ma:termSetId="b5c58978-aacf-4d49-9597-114f1244351d" ma:anchorId="95e39927-8a8a-49bd-969d-d6280031797e" ma:open="false" ma:isKeyword="false">
      <xsd:complexType>
        <xsd:sequence>
          <xsd:element ref="pc:Terms" minOccurs="0" maxOccurs="1"/>
        </xsd:sequence>
      </xsd:complexType>
    </xsd:element>
    <xsd:element name="TaxCatchAll" ma:index="16" nillable="true" ma:displayName="Taxonomy Catch All Column" ma:description="" ma:hidden="true" ma:list="{e98d8594-ac13-4827-9ccc-f6e688be706a}" ma:internalName="TaxCatchAll" ma:showField="CatchAllData" ma:web="14bf6e64-41b1-4008-8b31-81e768f35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28ad9b-b50f-45c7-9909-b90a4cda461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236c80-d5eb-4e66-a4a8-f567ee67a9c6"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Phase" ma:index="20" nillable="true" ma:displayName="Phase" ma:internalName="Phase">
      <xsd:complexType>
        <xsd:complexContent>
          <xsd:extension base="dms:MultiChoice">
            <xsd:sequence>
              <xsd:element name="Value" maxOccurs="unbounded" minOccurs="0" nillable="true">
                <xsd:simpleType>
                  <xsd:restriction base="dms:Choice">
                    <xsd:enumeration value="Admin"/>
                    <xsd:enumeration value="Background"/>
                    <xsd:enumeration value="Planning"/>
                    <xsd:enumeration value="Method"/>
                    <xsd:enumeration value="Data &amp; analyses"/>
                    <xsd:enumeration value="Reporting"/>
                  </xsd:restriction>
                </xsd:simpleType>
              </xsd:element>
            </xsd:sequence>
          </xsd:extension>
        </xsd:complexContent>
      </xsd:complex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5BF18-026F-46E2-847A-9C6EC459634B}">
  <ds:schemaRefs>
    <ds:schemaRef ds:uri="http://schemas.microsoft.com/sharepoint/v3/contenttype/forms"/>
  </ds:schemaRefs>
</ds:datastoreItem>
</file>

<file path=customXml/itemProps2.xml><?xml version="1.0" encoding="utf-8"?>
<ds:datastoreItem xmlns:ds="http://schemas.openxmlformats.org/officeDocument/2006/customXml" ds:itemID="{63A23719-BB01-4CE0-BAC4-2F5731EFC8F1}">
  <ds:schemaRefs>
    <ds:schemaRef ds:uri="http://schemas.microsoft.com/office/2006/metadata/properties"/>
    <ds:schemaRef ds:uri="http://schemas.microsoft.com/office/infopath/2007/PartnerControls"/>
    <ds:schemaRef ds:uri="d3236c80-d5eb-4e66-a4a8-f567ee67a9c6"/>
    <ds:schemaRef ds:uri="14bf6e64-41b1-4008-8b31-81e768f35d2f"/>
  </ds:schemaRefs>
</ds:datastoreItem>
</file>

<file path=customXml/itemProps3.xml><?xml version="1.0" encoding="utf-8"?>
<ds:datastoreItem xmlns:ds="http://schemas.openxmlformats.org/officeDocument/2006/customXml" ds:itemID="{1587641B-101D-4F77-9CDA-B8982E47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6e64-41b1-4008-8b31-81e768f35d2f"/>
    <ds:schemaRef ds:uri="0a28ad9b-b50f-45c7-9909-b90a4cda4617"/>
    <ds:schemaRef ds:uri="d3236c80-d5eb-4e66-a4a8-f567ee67a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E5B03-0040-4B0A-8063-B86D6CE10F44}">
  <ds:schemaRefs>
    <ds:schemaRef ds:uri="http://schemas.microsoft.com/sharepoint/events"/>
  </ds:schemaRefs>
</ds:datastoreItem>
</file>

<file path=customXml/itemProps5.xml><?xml version="1.0" encoding="utf-8"?>
<ds:datastoreItem xmlns:ds="http://schemas.openxmlformats.org/officeDocument/2006/customXml" ds:itemID="{3FDB91C5-E8A2-B048-9551-230085C9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6975</Words>
  <Characters>39763</Characters>
  <Application>Microsoft Office Word</Application>
  <DocSecurity>8</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46645</CharactersWithSpaces>
  <SharedDoc>false</SharedDoc>
  <HLinks>
    <vt:vector size="384" baseType="variant">
      <vt:variant>
        <vt:i4>1441849</vt:i4>
      </vt:variant>
      <vt:variant>
        <vt:i4>116</vt:i4>
      </vt:variant>
      <vt:variant>
        <vt:i4>0</vt:i4>
      </vt:variant>
      <vt:variant>
        <vt:i4>5</vt:i4>
      </vt:variant>
      <vt:variant>
        <vt:lpwstr/>
      </vt:variant>
      <vt:variant>
        <vt:lpwstr>_Toc17379524</vt:lpwstr>
      </vt:variant>
      <vt:variant>
        <vt:i4>1114169</vt:i4>
      </vt:variant>
      <vt:variant>
        <vt:i4>110</vt:i4>
      </vt:variant>
      <vt:variant>
        <vt:i4>0</vt:i4>
      </vt:variant>
      <vt:variant>
        <vt:i4>5</vt:i4>
      </vt:variant>
      <vt:variant>
        <vt:lpwstr/>
      </vt:variant>
      <vt:variant>
        <vt:lpwstr>_Toc17379523</vt:lpwstr>
      </vt:variant>
      <vt:variant>
        <vt:i4>1048633</vt:i4>
      </vt:variant>
      <vt:variant>
        <vt:i4>104</vt:i4>
      </vt:variant>
      <vt:variant>
        <vt:i4>0</vt:i4>
      </vt:variant>
      <vt:variant>
        <vt:i4>5</vt:i4>
      </vt:variant>
      <vt:variant>
        <vt:lpwstr/>
      </vt:variant>
      <vt:variant>
        <vt:lpwstr>_Toc17379522</vt:lpwstr>
      </vt:variant>
      <vt:variant>
        <vt:i4>1245241</vt:i4>
      </vt:variant>
      <vt:variant>
        <vt:i4>98</vt:i4>
      </vt:variant>
      <vt:variant>
        <vt:i4>0</vt:i4>
      </vt:variant>
      <vt:variant>
        <vt:i4>5</vt:i4>
      </vt:variant>
      <vt:variant>
        <vt:lpwstr/>
      </vt:variant>
      <vt:variant>
        <vt:lpwstr>_Toc17379521</vt:lpwstr>
      </vt:variant>
      <vt:variant>
        <vt:i4>1179705</vt:i4>
      </vt:variant>
      <vt:variant>
        <vt:i4>92</vt:i4>
      </vt:variant>
      <vt:variant>
        <vt:i4>0</vt:i4>
      </vt:variant>
      <vt:variant>
        <vt:i4>5</vt:i4>
      </vt:variant>
      <vt:variant>
        <vt:lpwstr/>
      </vt:variant>
      <vt:variant>
        <vt:lpwstr>_Toc17379520</vt:lpwstr>
      </vt:variant>
      <vt:variant>
        <vt:i4>1769530</vt:i4>
      </vt:variant>
      <vt:variant>
        <vt:i4>86</vt:i4>
      </vt:variant>
      <vt:variant>
        <vt:i4>0</vt:i4>
      </vt:variant>
      <vt:variant>
        <vt:i4>5</vt:i4>
      </vt:variant>
      <vt:variant>
        <vt:lpwstr/>
      </vt:variant>
      <vt:variant>
        <vt:lpwstr>_Toc17379519</vt:lpwstr>
      </vt:variant>
      <vt:variant>
        <vt:i4>1703994</vt:i4>
      </vt:variant>
      <vt:variant>
        <vt:i4>80</vt:i4>
      </vt:variant>
      <vt:variant>
        <vt:i4>0</vt:i4>
      </vt:variant>
      <vt:variant>
        <vt:i4>5</vt:i4>
      </vt:variant>
      <vt:variant>
        <vt:lpwstr/>
      </vt:variant>
      <vt:variant>
        <vt:lpwstr>_Toc17379518</vt:lpwstr>
      </vt:variant>
      <vt:variant>
        <vt:i4>1376314</vt:i4>
      </vt:variant>
      <vt:variant>
        <vt:i4>74</vt:i4>
      </vt:variant>
      <vt:variant>
        <vt:i4>0</vt:i4>
      </vt:variant>
      <vt:variant>
        <vt:i4>5</vt:i4>
      </vt:variant>
      <vt:variant>
        <vt:lpwstr/>
      </vt:variant>
      <vt:variant>
        <vt:lpwstr>_Toc17379517</vt:lpwstr>
      </vt:variant>
      <vt:variant>
        <vt:i4>1310778</vt:i4>
      </vt:variant>
      <vt:variant>
        <vt:i4>68</vt:i4>
      </vt:variant>
      <vt:variant>
        <vt:i4>0</vt:i4>
      </vt:variant>
      <vt:variant>
        <vt:i4>5</vt:i4>
      </vt:variant>
      <vt:variant>
        <vt:lpwstr/>
      </vt:variant>
      <vt:variant>
        <vt:lpwstr>_Toc17379516</vt:lpwstr>
      </vt:variant>
      <vt:variant>
        <vt:i4>1507386</vt:i4>
      </vt:variant>
      <vt:variant>
        <vt:i4>62</vt:i4>
      </vt:variant>
      <vt:variant>
        <vt:i4>0</vt:i4>
      </vt:variant>
      <vt:variant>
        <vt:i4>5</vt:i4>
      </vt:variant>
      <vt:variant>
        <vt:lpwstr/>
      </vt:variant>
      <vt:variant>
        <vt:lpwstr>_Toc17379515</vt:lpwstr>
      </vt:variant>
      <vt:variant>
        <vt:i4>1441850</vt:i4>
      </vt:variant>
      <vt:variant>
        <vt:i4>56</vt:i4>
      </vt:variant>
      <vt:variant>
        <vt:i4>0</vt:i4>
      </vt:variant>
      <vt:variant>
        <vt:i4>5</vt:i4>
      </vt:variant>
      <vt:variant>
        <vt:lpwstr/>
      </vt:variant>
      <vt:variant>
        <vt:lpwstr>_Toc17379514</vt:lpwstr>
      </vt:variant>
      <vt:variant>
        <vt:i4>1114170</vt:i4>
      </vt:variant>
      <vt:variant>
        <vt:i4>50</vt:i4>
      </vt:variant>
      <vt:variant>
        <vt:i4>0</vt:i4>
      </vt:variant>
      <vt:variant>
        <vt:i4>5</vt:i4>
      </vt:variant>
      <vt:variant>
        <vt:lpwstr/>
      </vt:variant>
      <vt:variant>
        <vt:lpwstr>_Toc17379513</vt:lpwstr>
      </vt:variant>
      <vt:variant>
        <vt:i4>1048634</vt:i4>
      </vt:variant>
      <vt:variant>
        <vt:i4>44</vt:i4>
      </vt:variant>
      <vt:variant>
        <vt:i4>0</vt:i4>
      </vt:variant>
      <vt:variant>
        <vt:i4>5</vt:i4>
      </vt:variant>
      <vt:variant>
        <vt:lpwstr/>
      </vt:variant>
      <vt:variant>
        <vt:lpwstr>_Toc17379512</vt:lpwstr>
      </vt:variant>
      <vt:variant>
        <vt:i4>1245242</vt:i4>
      </vt:variant>
      <vt:variant>
        <vt:i4>38</vt:i4>
      </vt:variant>
      <vt:variant>
        <vt:i4>0</vt:i4>
      </vt:variant>
      <vt:variant>
        <vt:i4>5</vt:i4>
      </vt:variant>
      <vt:variant>
        <vt:lpwstr/>
      </vt:variant>
      <vt:variant>
        <vt:lpwstr>_Toc17379511</vt:lpwstr>
      </vt:variant>
      <vt:variant>
        <vt:i4>1179706</vt:i4>
      </vt:variant>
      <vt:variant>
        <vt:i4>32</vt:i4>
      </vt:variant>
      <vt:variant>
        <vt:i4>0</vt:i4>
      </vt:variant>
      <vt:variant>
        <vt:i4>5</vt:i4>
      </vt:variant>
      <vt:variant>
        <vt:lpwstr/>
      </vt:variant>
      <vt:variant>
        <vt:lpwstr>_Toc17379510</vt:lpwstr>
      </vt:variant>
      <vt:variant>
        <vt:i4>1769531</vt:i4>
      </vt:variant>
      <vt:variant>
        <vt:i4>26</vt:i4>
      </vt:variant>
      <vt:variant>
        <vt:i4>0</vt:i4>
      </vt:variant>
      <vt:variant>
        <vt:i4>5</vt:i4>
      </vt:variant>
      <vt:variant>
        <vt:lpwstr/>
      </vt:variant>
      <vt:variant>
        <vt:lpwstr>_Toc17379509</vt:lpwstr>
      </vt:variant>
      <vt:variant>
        <vt:i4>1703995</vt:i4>
      </vt:variant>
      <vt:variant>
        <vt:i4>20</vt:i4>
      </vt:variant>
      <vt:variant>
        <vt:i4>0</vt:i4>
      </vt:variant>
      <vt:variant>
        <vt:i4>5</vt:i4>
      </vt:variant>
      <vt:variant>
        <vt:lpwstr/>
      </vt:variant>
      <vt:variant>
        <vt:lpwstr>_Toc17379508</vt:lpwstr>
      </vt:variant>
      <vt:variant>
        <vt:i4>1376315</vt:i4>
      </vt:variant>
      <vt:variant>
        <vt:i4>14</vt:i4>
      </vt:variant>
      <vt:variant>
        <vt:i4>0</vt:i4>
      </vt:variant>
      <vt:variant>
        <vt:i4>5</vt:i4>
      </vt:variant>
      <vt:variant>
        <vt:lpwstr/>
      </vt:variant>
      <vt:variant>
        <vt:lpwstr>_Toc17379507</vt:lpwstr>
      </vt:variant>
      <vt:variant>
        <vt:i4>1310779</vt:i4>
      </vt:variant>
      <vt:variant>
        <vt:i4>8</vt:i4>
      </vt:variant>
      <vt:variant>
        <vt:i4>0</vt:i4>
      </vt:variant>
      <vt:variant>
        <vt:i4>5</vt:i4>
      </vt:variant>
      <vt:variant>
        <vt:lpwstr/>
      </vt:variant>
      <vt:variant>
        <vt:lpwstr>_Toc17379506</vt:lpwstr>
      </vt:variant>
      <vt:variant>
        <vt:i4>1507387</vt:i4>
      </vt:variant>
      <vt:variant>
        <vt:i4>2</vt:i4>
      </vt:variant>
      <vt:variant>
        <vt:i4>0</vt:i4>
      </vt:variant>
      <vt:variant>
        <vt:i4>5</vt:i4>
      </vt:variant>
      <vt:variant>
        <vt:lpwstr/>
      </vt:variant>
      <vt:variant>
        <vt:lpwstr>_Toc17379505</vt:lpwstr>
      </vt:variant>
      <vt:variant>
        <vt:i4>7340094</vt:i4>
      </vt:variant>
      <vt:variant>
        <vt:i4>129</vt:i4>
      </vt:variant>
      <vt:variant>
        <vt:i4>0</vt:i4>
      </vt:variant>
      <vt:variant>
        <vt:i4>5</vt:i4>
      </vt:variant>
      <vt:variant>
        <vt:lpwstr>https://spcommreports.ohchr.org/TMResultsBase/DownLoadPublicCommunicationFile?gId=24461</vt:lpwstr>
      </vt:variant>
      <vt:variant>
        <vt:lpwstr/>
      </vt:variant>
      <vt:variant>
        <vt:i4>5505028</vt:i4>
      </vt:variant>
      <vt:variant>
        <vt:i4>126</vt:i4>
      </vt:variant>
      <vt:variant>
        <vt:i4>0</vt:i4>
      </vt:variant>
      <vt:variant>
        <vt:i4>5</vt:i4>
      </vt:variant>
      <vt:variant>
        <vt:lpwstr>https://documents-dds-ny.un.org/doc/UNDOC/GEN/G18/245/94/PDF/G1824594.pdf?OpenElement</vt:lpwstr>
      </vt:variant>
      <vt:variant>
        <vt:lpwstr/>
      </vt:variant>
      <vt:variant>
        <vt:i4>7209005</vt:i4>
      </vt:variant>
      <vt:variant>
        <vt:i4>123</vt:i4>
      </vt:variant>
      <vt:variant>
        <vt:i4>0</vt:i4>
      </vt:variant>
      <vt:variant>
        <vt:i4>5</vt:i4>
      </vt:variant>
      <vt:variant>
        <vt:lpwstr>https://www.unglobalcompact.org/docs/issues_doc/human_rights/Human_Rights_Working_Group/FPIC_Indigenous_Peoples_GPN.pdf</vt:lpwstr>
      </vt:variant>
      <vt:variant>
        <vt:lpwstr/>
      </vt:variant>
      <vt:variant>
        <vt:i4>3145798</vt:i4>
      </vt:variant>
      <vt:variant>
        <vt:i4>120</vt:i4>
      </vt:variant>
      <vt:variant>
        <vt:i4>0</vt:i4>
      </vt:variant>
      <vt:variant>
        <vt:i4>5</vt:i4>
      </vt:variant>
      <vt:variant>
        <vt:lpwstr>https://www.ohchr.org/documents/publications/GuidingprinciplesBusinesshr_eN.pdf</vt:lpwstr>
      </vt:variant>
      <vt:variant>
        <vt:lpwstr/>
      </vt:variant>
      <vt:variant>
        <vt:i4>1703957</vt:i4>
      </vt:variant>
      <vt:variant>
        <vt:i4>117</vt:i4>
      </vt:variant>
      <vt:variant>
        <vt:i4>0</vt:i4>
      </vt:variant>
      <vt:variant>
        <vt:i4>5</vt:i4>
      </vt:variant>
      <vt:variant>
        <vt:lpwstr>https://www.refworld.org/pdfid/53f1d89c4.pdf</vt:lpwstr>
      </vt:variant>
      <vt:variant>
        <vt:lpwstr/>
      </vt:variant>
      <vt:variant>
        <vt:i4>5505028</vt:i4>
      </vt:variant>
      <vt:variant>
        <vt:i4>114</vt:i4>
      </vt:variant>
      <vt:variant>
        <vt:i4>0</vt:i4>
      </vt:variant>
      <vt:variant>
        <vt:i4>5</vt:i4>
      </vt:variant>
      <vt:variant>
        <vt:lpwstr>https://documents-dds-ny.un.org/doc/UNDOC/GEN/G18/245/94/PDF/G1824594.pdf?OpenElement</vt:lpwstr>
      </vt:variant>
      <vt:variant>
        <vt:lpwstr/>
      </vt:variant>
      <vt:variant>
        <vt:i4>4522024</vt:i4>
      </vt:variant>
      <vt:variant>
        <vt:i4>111</vt:i4>
      </vt:variant>
      <vt:variant>
        <vt:i4>0</vt:i4>
      </vt:variant>
      <vt:variant>
        <vt:i4>5</vt:i4>
      </vt:variant>
      <vt:variant>
        <vt:lpwstr>file://C:\\Users\lauriem\Downloads\cerd (1).pdf</vt:lpwstr>
      </vt:variant>
      <vt:variant>
        <vt:lpwstr/>
      </vt:variant>
      <vt:variant>
        <vt:i4>1245263</vt:i4>
      </vt:variant>
      <vt:variant>
        <vt:i4>108</vt:i4>
      </vt:variant>
      <vt:variant>
        <vt:i4>0</vt:i4>
      </vt:variant>
      <vt:variant>
        <vt:i4>5</vt:i4>
      </vt:variant>
      <vt:variant>
        <vt:lpwstr>https://www.waitangitribunal.govt.nz/treaty-of-waitangi/principles-of-the-treaty/</vt:lpwstr>
      </vt:variant>
      <vt:variant>
        <vt:lpwstr/>
      </vt:variant>
      <vt:variant>
        <vt:i4>8061047</vt:i4>
      </vt:variant>
      <vt:variant>
        <vt:i4>105</vt:i4>
      </vt:variant>
      <vt:variant>
        <vt:i4>0</vt:i4>
      </vt:variant>
      <vt:variant>
        <vt:i4>5</vt:i4>
      </vt:variant>
      <vt:variant>
        <vt:lpwstr>https://forms.justice.govt.nz/search/Documents/WT/wt_DOC_68000605/Foreshore.pdf</vt:lpwstr>
      </vt:variant>
      <vt:variant>
        <vt:lpwstr/>
      </vt:variant>
      <vt:variant>
        <vt:i4>5505028</vt:i4>
      </vt:variant>
      <vt:variant>
        <vt:i4>102</vt:i4>
      </vt:variant>
      <vt:variant>
        <vt:i4>0</vt:i4>
      </vt:variant>
      <vt:variant>
        <vt:i4>5</vt:i4>
      </vt:variant>
      <vt:variant>
        <vt:lpwstr>https://documents-dds-ny.un.org/doc/UNDOC/GEN/G18/245/94/PDF/G1824594.pdf?OpenElement</vt:lpwstr>
      </vt:variant>
      <vt:variant>
        <vt:lpwstr/>
      </vt:variant>
      <vt:variant>
        <vt:i4>7602239</vt:i4>
      </vt:variant>
      <vt:variant>
        <vt:i4>99</vt:i4>
      </vt:variant>
      <vt:variant>
        <vt:i4>0</vt:i4>
      </vt:variant>
      <vt:variant>
        <vt:i4>5</vt:i4>
      </vt:variant>
      <vt:variant>
        <vt:lpwstr>https://www.undocs.org/a/hrc/18/42</vt:lpwstr>
      </vt:variant>
      <vt:variant>
        <vt:lpwstr/>
      </vt:variant>
      <vt:variant>
        <vt:i4>5505028</vt:i4>
      </vt:variant>
      <vt:variant>
        <vt:i4>96</vt:i4>
      </vt:variant>
      <vt:variant>
        <vt:i4>0</vt:i4>
      </vt:variant>
      <vt:variant>
        <vt:i4>5</vt:i4>
      </vt:variant>
      <vt:variant>
        <vt:lpwstr>https://documents-dds-ny.un.org/doc/UNDOC/GEN/G18/245/94/PDF/G1824594.pdf?OpenElement</vt:lpwstr>
      </vt:variant>
      <vt:variant>
        <vt:lpwstr/>
      </vt:variant>
      <vt:variant>
        <vt:i4>2097191</vt:i4>
      </vt:variant>
      <vt:variant>
        <vt:i4>93</vt:i4>
      </vt:variant>
      <vt:variant>
        <vt:i4>0</vt:i4>
      </vt:variant>
      <vt:variant>
        <vt:i4>5</vt:i4>
      </vt:variant>
      <vt:variant>
        <vt:lpwstr>http://docstore.ohchr.org/SelfServices/FilesHandler.ashx?enc=4slQ6QSmlBEDzFEovLCuW1a0Szab0oXTdImnsJZZVQc5ReG9hKvddWC2ML5U76E63nT%2BeY%2BtmSVIRS0ynN0q4EDmpjJye7rC1DxEtC%2FGxx7WLBcmnxGwpWSXy0fmnHDS</vt:lpwstr>
      </vt:variant>
      <vt:variant>
        <vt:lpwstr/>
      </vt:variant>
      <vt:variant>
        <vt:i4>7602239</vt:i4>
      </vt:variant>
      <vt:variant>
        <vt:i4>90</vt:i4>
      </vt:variant>
      <vt:variant>
        <vt:i4>0</vt:i4>
      </vt:variant>
      <vt:variant>
        <vt:i4>5</vt:i4>
      </vt:variant>
      <vt:variant>
        <vt:lpwstr>https://www.undocs.org/a/hrc/18/42</vt:lpwstr>
      </vt:variant>
      <vt:variant>
        <vt:lpwstr/>
      </vt:variant>
      <vt:variant>
        <vt:i4>721005</vt:i4>
      </vt:variant>
      <vt:variant>
        <vt:i4>87</vt:i4>
      </vt:variant>
      <vt:variant>
        <vt:i4>0</vt:i4>
      </vt:variant>
      <vt:variant>
        <vt:i4>5</vt:i4>
      </vt:variant>
      <vt:variant>
        <vt:lpwstr>file://C:\\Users\lauriem\Downloads\A_HRC_EMRIP_2011_2-EN.pdf</vt:lpwstr>
      </vt:variant>
      <vt:variant>
        <vt:lpwstr/>
      </vt:variant>
      <vt:variant>
        <vt:i4>7536693</vt:i4>
      </vt:variant>
      <vt:variant>
        <vt:i4>84</vt:i4>
      </vt:variant>
      <vt:variant>
        <vt:i4>0</vt:i4>
      </vt:variant>
      <vt:variant>
        <vt:i4>5</vt:i4>
      </vt:variant>
      <vt:variant>
        <vt:lpwstr>https://www.undocs.org/a/hrc/15/35</vt:lpwstr>
      </vt:variant>
      <vt:variant>
        <vt:lpwstr/>
      </vt:variant>
      <vt:variant>
        <vt:i4>2097191</vt:i4>
      </vt:variant>
      <vt:variant>
        <vt:i4>81</vt:i4>
      </vt:variant>
      <vt:variant>
        <vt:i4>0</vt:i4>
      </vt:variant>
      <vt:variant>
        <vt:i4>5</vt:i4>
      </vt:variant>
      <vt:variant>
        <vt:lpwstr>http://docstore.ohchr.org/SelfServices/FilesHandler.ashx?enc=4slQ6QSmlBEDzFEovLCuW1a0Szab0oXTdImnsJZZVQc5ReG9hKvddWC2ML5U76E63nT%2BeY%2BtmSVIRS0ynN0q4EDmpjJye7rC1DxEtC%2FGxx7WLBcmnxGwpWSXy0fmnHDS</vt:lpwstr>
      </vt:variant>
      <vt:variant>
        <vt:lpwstr/>
      </vt:variant>
      <vt:variant>
        <vt:i4>1441803</vt:i4>
      </vt:variant>
      <vt:variant>
        <vt:i4>78</vt:i4>
      </vt:variant>
      <vt:variant>
        <vt:i4>0</vt:i4>
      </vt:variant>
      <vt:variant>
        <vt:i4>5</vt:i4>
      </vt:variant>
      <vt:variant>
        <vt:lpwstr>https://www.noted.co.nz/currently/social-issues/ihumatao-maori-heritage-sites-nz-protection/</vt:lpwstr>
      </vt:variant>
      <vt:variant>
        <vt:lpwstr/>
      </vt:variant>
      <vt:variant>
        <vt:i4>4980736</vt:i4>
      </vt:variant>
      <vt:variant>
        <vt:i4>75</vt:i4>
      </vt:variant>
      <vt:variant>
        <vt:i4>0</vt:i4>
      </vt:variant>
      <vt:variant>
        <vt:i4>5</vt:i4>
      </vt:variant>
      <vt:variant>
        <vt:lpwstr>https://undocs.org/CCPR/C/21/Rev.1/Add.5</vt:lpwstr>
      </vt:variant>
      <vt:variant>
        <vt:lpwstr/>
      </vt:variant>
      <vt:variant>
        <vt:i4>3801208</vt:i4>
      </vt:variant>
      <vt:variant>
        <vt:i4>72</vt:i4>
      </vt:variant>
      <vt:variant>
        <vt:i4>0</vt:i4>
      </vt:variant>
      <vt:variant>
        <vt:i4>5</vt:i4>
      </vt:variant>
      <vt:variant>
        <vt:lpwstr>http://www.converge.org.nz/pma/MatikeMaiAotearoaReport.pdf</vt:lpwstr>
      </vt:variant>
      <vt:variant>
        <vt:lpwstr/>
      </vt:variant>
      <vt:variant>
        <vt:i4>5570564</vt:i4>
      </vt:variant>
      <vt:variant>
        <vt:i4>69</vt:i4>
      </vt:variant>
      <vt:variant>
        <vt:i4>0</vt:i4>
      </vt:variant>
      <vt:variant>
        <vt:i4>5</vt:i4>
      </vt:variant>
      <vt:variant>
        <vt:lpwstr>https://www2.ohchr.org/english/bodies/crc/docs/GC.11_indigenous_New.pdf</vt:lpwstr>
      </vt:variant>
      <vt:variant>
        <vt:lpwstr/>
      </vt:variant>
      <vt:variant>
        <vt:i4>2097191</vt:i4>
      </vt:variant>
      <vt:variant>
        <vt:i4>66</vt:i4>
      </vt:variant>
      <vt:variant>
        <vt:i4>0</vt:i4>
      </vt:variant>
      <vt:variant>
        <vt:i4>5</vt:i4>
      </vt:variant>
      <vt:variant>
        <vt:lpwstr>http://docstore.ohchr.org/SelfServices/FilesHandler.ashx?enc=4slQ6QSmlBEDzFEovLCuW1a0Szab0oXTdImnsJZZVQc5ReG9hKvddWC2ML5U76E63nT%2BeY%2BtmSVIRS0ynN0q4EDmpjJye7rC1DxEtC%2FGxx7WLBcmnxGwpWSXy0fmnHDS</vt:lpwstr>
      </vt:variant>
      <vt:variant>
        <vt:lpwstr/>
      </vt:variant>
      <vt:variant>
        <vt:i4>5177446</vt:i4>
      </vt:variant>
      <vt:variant>
        <vt:i4>63</vt:i4>
      </vt:variant>
      <vt:variant>
        <vt:i4>0</vt:i4>
      </vt:variant>
      <vt:variant>
        <vt:i4>5</vt:i4>
      </vt:variant>
      <vt:variant>
        <vt:lpwstr>https://www.ohchr.org/Documents/Issues/IPeoples/SR/A-HRC-18-35-Add4_en.pdf</vt:lpwstr>
      </vt:variant>
      <vt:variant>
        <vt:lpwstr/>
      </vt:variant>
      <vt:variant>
        <vt:i4>5439491</vt:i4>
      </vt:variant>
      <vt:variant>
        <vt:i4>60</vt:i4>
      </vt:variant>
      <vt:variant>
        <vt:i4>0</vt:i4>
      </vt:variant>
      <vt:variant>
        <vt:i4>5</vt:i4>
      </vt:variant>
      <vt:variant>
        <vt:lpwstr>https://documents-dds-ny.un.org/doc/UNDOC/GEN/G06/118/36/PDF/G0611836.pdf?OpenElement</vt:lpwstr>
      </vt:variant>
      <vt:variant>
        <vt:lpwstr/>
      </vt:variant>
      <vt:variant>
        <vt:i4>1245201</vt:i4>
      </vt:variant>
      <vt:variant>
        <vt:i4>57</vt:i4>
      </vt:variant>
      <vt:variant>
        <vt:i4>0</vt:i4>
      </vt:variant>
      <vt:variant>
        <vt:i4>5</vt:i4>
      </vt:variant>
      <vt:variant>
        <vt:lpwstr>https://www.undocs.org/a/hrc/emrip/2019/3</vt:lpwstr>
      </vt:variant>
      <vt:variant>
        <vt:lpwstr/>
      </vt:variant>
      <vt:variant>
        <vt:i4>5505028</vt:i4>
      </vt:variant>
      <vt:variant>
        <vt:i4>54</vt:i4>
      </vt:variant>
      <vt:variant>
        <vt:i4>0</vt:i4>
      </vt:variant>
      <vt:variant>
        <vt:i4>5</vt:i4>
      </vt:variant>
      <vt:variant>
        <vt:lpwstr>https://documents-dds-ny.un.org/doc/UNDOC/GEN/G18/245/94/PDF/G1824594.pdf?OpenElement</vt:lpwstr>
      </vt:variant>
      <vt:variant>
        <vt:lpwstr/>
      </vt:variant>
      <vt:variant>
        <vt:i4>5439491</vt:i4>
      </vt:variant>
      <vt:variant>
        <vt:i4>51</vt:i4>
      </vt:variant>
      <vt:variant>
        <vt:i4>0</vt:i4>
      </vt:variant>
      <vt:variant>
        <vt:i4>5</vt:i4>
      </vt:variant>
      <vt:variant>
        <vt:lpwstr>https://forms.justice.govt.nz/search/Documents/WT/wt_DOC_135986487/Tu Mai te Rangi W.pdf</vt:lpwstr>
      </vt:variant>
      <vt:variant>
        <vt:lpwstr/>
      </vt:variant>
      <vt:variant>
        <vt:i4>5767192</vt:i4>
      </vt:variant>
      <vt:variant>
        <vt:i4>48</vt:i4>
      </vt:variant>
      <vt:variant>
        <vt:i4>0</vt:i4>
      </vt:variant>
      <vt:variant>
        <vt:i4>5</vt:i4>
      </vt:variant>
      <vt:variant>
        <vt:lpwstr>https://forms.justice.govt.nz/search/Documents/WT/wt_DOC_68356054/KoAotearoaTeneiTT1W.pdf</vt:lpwstr>
      </vt:variant>
      <vt:variant>
        <vt:lpwstr/>
      </vt:variant>
      <vt:variant>
        <vt:i4>5963862</vt:i4>
      </vt:variant>
      <vt:variant>
        <vt:i4>45</vt:i4>
      </vt:variant>
      <vt:variant>
        <vt:i4>0</vt:i4>
      </vt:variant>
      <vt:variant>
        <vt:i4>5</vt:i4>
      </vt:variant>
      <vt:variant>
        <vt:lpwstr>https://forms.justice.govt.nz/search/Documents/WT/wt_DOC_101113166/He Kura Whenua ka Rokohanga W.pdf</vt:lpwstr>
      </vt:variant>
      <vt:variant>
        <vt:lpwstr/>
      </vt:variant>
      <vt:variant>
        <vt:i4>6488168</vt:i4>
      </vt:variant>
      <vt:variant>
        <vt:i4>42</vt:i4>
      </vt:variant>
      <vt:variant>
        <vt:i4>0</vt:i4>
      </vt:variant>
      <vt:variant>
        <vt:i4>5</vt:i4>
      </vt:variant>
      <vt:variant>
        <vt:lpwstr>https://forms.justice.govt.nz/search/Documents/WT/wt_DOC_85007148/Maori Council ReportW.pdf</vt:lpwstr>
      </vt:variant>
      <vt:variant>
        <vt:lpwstr/>
      </vt:variant>
      <vt:variant>
        <vt:i4>65540</vt:i4>
      </vt:variant>
      <vt:variant>
        <vt:i4>39</vt:i4>
      </vt:variant>
      <vt:variant>
        <vt:i4>0</vt:i4>
      </vt:variant>
      <vt:variant>
        <vt:i4>5</vt:i4>
      </vt:variant>
      <vt:variant>
        <vt:lpwstr>https://forms.justice.govt.nz/search/Documents/WT/wt_DOC_68356416/KoAotearoaTeneiTT2Vol1W.pdf</vt:lpwstr>
      </vt:variant>
      <vt:variant>
        <vt:lpwstr/>
      </vt:variant>
      <vt:variant>
        <vt:i4>7143458</vt:i4>
      </vt:variant>
      <vt:variant>
        <vt:i4>36</vt:i4>
      </vt:variant>
      <vt:variant>
        <vt:i4>0</vt:i4>
      </vt:variant>
      <vt:variant>
        <vt:i4>5</vt:i4>
      </vt:variant>
      <vt:variant>
        <vt:lpwstr>https://forms.justice.govt.nz/search/Documents/WT/wt_DOC_70469266/Wai 2417%2C A010.pdf</vt:lpwstr>
      </vt:variant>
      <vt:variant>
        <vt:lpwstr/>
      </vt:variant>
      <vt:variant>
        <vt:i4>65540</vt:i4>
      </vt:variant>
      <vt:variant>
        <vt:i4>33</vt:i4>
      </vt:variant>
      <vt:variant>
        <vt:i4>0</vt:i4>
      </vt:variant>
      <vt:variant>
        <vt:i4>5</vt:i4>
      </vt:variant>
      <vt:variant>
        <vt:lpwstr>https://forms.justice.govt.nz/search/Documents/WT/wt_DOC_68356416/KoAotearoaTeneiTT2Vol1W.pdf</vt:lpwstr>
      </vt:variant>
      <vt:variant>
        <vt:lpwstr/>
      </vt:variant>
      <vt:variant>
        <vt:i4>852088</vt:i4>
      </vt:variant>
      <vt:variant>
        <vt:i4>30</vt:i4>
      </vt:variant>
      <vt:variant>
        <vt:i4>0</vt:i4>
      </vt:variant>
      <vt:variant>
        <vt:i4>5</vt:i4>
      </vt:variant>
      <vt:variant>
        <vt:lpwstr>https://www.courtsofnz.govt.nz/speechpapers/Williams J Harkness Henry Lecture Lex Aotearoa.pdf/at_download/file</vt:lpwstr>
      </vt:variant>
      <vt:variant>
        <vt:lpwstr/>
      </vt:variant>
      <vt:variant>
        <vt:i4>3801208</vt:i4>
      </vt:variant>
      <vt:variant>
        <vt:i4>27</vt:i4>
      </vt:variant>
      <vt:variant>
        <vt:i4>0</vt:i4>
      </vt:variant>
      <vt:variant>
        <vt:i4>5</vt:i4>
      </vt:variant>
      <vt:variant>
        <vt:lpwstr>http://www.converge.org.nz/pma/MatikeMaiAotearoaReport.pdf</vt:lpwstr>
      </vt:variant>
      <vt:variant>
        <vt:lpwstr/>
      </vt:variant>
      <vt:variant>
        <vt:i4>7667804</vt:i4>
      </vt:variant>
      <vt:variant>
        <vt:i4>24</vt:i4>
      </vt:variant>
      <vt:variant>
        <vt:i4>0</vt:i4>
      </vt:variant>
      <vt:variant>
        <vt:i4>5</vt:i4>
      </vt:variant>
      <vt:variant>
        <vt:lpwstr>https://www.parliament.nz/resource/en-NZ/52SCMA_ADV_85179_MA2490/e24efd507e7c6d39cb56cfc074cba42ec181c471</vt:lpwstr>
      </vt:variant>
      <vt:variant>
        <vt:lpwstr/>
      </vt:variant>
      <vt:variant>
        <vt:i4>7340094</vt:i4>
      </vt:variant>
      <vt:variant>
        <vt:i4>21</vt:i4>
      </vt:variant>
      <vt:variant>
        <vt:i4>0</vt:i4>
      </vt:variant>
      <vt:variant>
        <vt:i4>5</vt:i4>
      </vt:variant>
      <vt:variant>
        <vt:lpwstr>https://spcommreports.ohchr.org/TMResultsBase/DownLoadPublicCommunicationFile?gId=24461</vt:lpwstr>
      </vt:variant>
      <vt:variant>
        <vt:lpwstr/>
      </vt:variant>
      <vt:variant>
        <vt:i4>6684676</vt:i4>
      </vt:variant>
      <vt:variant>
        <vt:i4>18</vt:i4>
      </vt:variant>
      <vt:variant>
        <vt:i4>0</vt:i4>
      </vt:variant>
      <vt:variant>
        <vt:i4>5</vt:i4>
      </vt:variant>
      <vt:variant>
        <vt:lpwstr>https://tbinternet.ohchr.org/Treaties/CERD/Shared Documents/NZL/INT_CERD_NGO_NZL_28088_E.pdf</vt:lpwstr>
      </vt:variant>
      <vt:variant>
        <vt:lpwstr/>
      </vt:variant>
      <vt:variant>
        <vt:i4>6750235</vt:i4>
      </vt:variant>
      <vt:variant>
        <vt:i4>15</vt:i4>
      </vt:variant>
      <vt:variant>
        <vt:i4>0</vt:i4>
      </vt:variant>
      <vt:variant>
        <vt:i4>5</vt:i4>
      </vt:variant>
      <vt:variant>
        <vt:lpwstr>https://www.parliament.nz/resource/en-NZ/SCR_89650/941b97691a598670df28a53d0db22f3a8d5a12d4</vt:lpwstr>
      </vt:variant>
      <vt:variant>
        <vt:lpwstr/>
      </vt:variant>
      <vt:variant>
        <vt:i4>6226014</vt:i4>
      </vt:variant>
      <vt:variant>
        <vt:i4>12</vt:i4>
      </vt:variant>
      <vt:variant>
        <vt:i4>0</vt:i4>
      </vt:variant>
      <vt:variant>
        <vt:i4>5</vt:i4>
      </vt:variant>
      <vt:variant>
        <vt:lpwstr>https://www.protectihumatao.com/</vt:lpwstr>
      </vt:variant>
      <vt:variant>
        <vt:lpwstr/>
      </vt:variant>
      <vt:variant>
        <vt:i4>6750235</vt:i4>
      </vt:variant>
      <vt:variant>
        <vt:i4>9</vt:i4>
      </vt:variant>
      <vt:variant>
        <vt:i4>0</vt:i4>
      </vt:variant>
      <vt:variant>
        <vt:i4>5</vt:i4>
      </vt:variant>
      <vt:variant>
        <vt:lpwstr>https://www.parliament.nz/resource/en-NZ/SCR_89650/941b97691a598670df28a53d0db22f3a8d5a12d4</vt:lpwstr>
      </vt:variant>
      <vt:variant>
        <vt:lpwstr/>
      </vt:variant>
      <vt:variant>
        <vt:i4>6750235</vt:i4>
      </vt:variant>
      <vt:variant>
        <vt:i4>6</vt:i4>
      </vt:variant>
      <vt:variant>
        <vt:i4>0</vt:i4>
      </vt:variant>
      <vt:variant>
        <vt:i4>5</vt:i4>
      </vt:variant>
      <vt:variant>
        <vt:lpwstr>https://www.parliament.nz/resource/en-NZ/SCR_89650/941b97691a598670df28a53d0db22f3a8d5a12d4</vt:lpwstr>
      </vt:variant>
      <vt:variant>
        <vt:lpwstr/>
      </vt:variant>
      <vt:variant>
        <vt:i4>69</vt:i4>
      </vt:variant>
      <vt:variant>
        <vt:i4>3</vt:i4>
      </vt:variant>
      <vt:variant>
        <vt:i4>0</vt:i4>
      </vt:variant>
      <vt:variant>
        <vt:i4>5</vt:i4>
      </vt:variant>
      <vt:variant>
        <vt:lpwstr>https://forms.justice.govt.nz/search/Documents/WT/wt_DOC_68495207/The Manukau Report 1985.pdf</vt:lpwstr>
      </vt:variant>
      <vt:variant>
        <vt:lpwstr/>
      </vt:variant>
      <vt:variant>
        <vt:i4>6750235</vt:i4>
      </vt:variant>
      <vt:variant>
        <vt:i4>0</vt:i4>
      </vt:variant>
      <vt:variant>
        <vt:i4>0</vt:i4>
      </vt:variant>
      <vt:variant>
        <vt:i4>5</vt:i4>
      </vt:variant>
      <vt:variant>
        <vt:lpwstr>https://www.parliament.nz/resource/en-NZ/SCR_89650/941b97691a598670df28a53d0db22f3a8d5a12d4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Jaimee Paenga</dc:creator>
  <cp:keywords/>
  <dc:description/>
  <cp:lastModifiedBy>Ryan Mearns</cp:lastModifiedBy>
  <cp:revision>3</cp:revision>
  <cp:lastPrinted>2019-08-19T06:33:00Z</cp:lastPrinted>
  <dcterms:created xsi:type="dcterms:W3CDTF">2019-08-22T22:02:00Z</dcterms:created>
  <dcterms:modified xsi:type="dcterms:W3CDTF">2019-08-22T22:50:00Z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0x010100E21E217C0ACDCE4E8A030A0316284B28</vt:lpwstr>
  </property>
  <property fmtid="{D5CDD505-2E9C-101B-9397-08002B2CF9AE}" pid="3" name="RevIMBCS">
    <vt:lpwstr>311;#Advocacy Education ＆ Advice|8cf4d9b3-e259-44c3-913a-cdfdfa0ec6fd</vt:lpwstr>
  </property>
  <property fmtid="{D5CDD505-2E9C-101B-9397-08002B2CF9AE}" pid="4" name="_dlc_DocIdItemGuid">
    <vt:lpwstr>52f4493a-1e40-43e0-8aac-9225e791bf81</vt:lpwstr>
  </property>
</Properties>
</file>